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C9A7" w14:textId="77777777" w:rsidR="00442FA6" w:rsidRPr="00442FA6" w:rsidRDefault="00442FA6" w:rsidP="00442FA6">
      <w:pPr>
        <w:rPr>
          <w:vanish/>
        </w:rPr>
      </w:pPr>
    </w:p>
    <w:tbl>
      <w:tblPr>
        <w:tblpPr w:leftFromText="180" w:rightFromText="180" w:vertAnchor="text" w:horzAnchor="margin" w:tblpY="82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691"/>
      </w:tblGrid>
      <w:tr w:rsidR="00442FA6" w14:paraId="25CA8DBA" w14:textId="77777777" w:rsidTr="00442FA6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9E44F" w14:textId="77777777" w:rsidR="00442FA6" w:rsidRDefault="00D0315C" w:rsidP="00442FA6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20"/>
                <w:lang w:val="fr-BE" w:eastAsia="fr-BE" w:bidi="ar-SA"/>
              </w:rPr>
              <w:drawing>
                <wp:inline distT="0" distB="0" distL="0" distR="0" wp14:anchorId="61E0D5C7" wp14:editId="09761DCF">
                  <wp:extent cx="1007110" cy="67119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00D87FF9" w14:textId="77777777" w:rsidR="00442FA6" w:rsidRDefault="00442FA6" w:rsidP="00442FA6">
            <w:pPr>
              <w:pStyle w:val="ZCom"/>
            </w:pPr>
            <w:r>
              <w:t>COMISIÓN EUROPEA</w:t>
            </w:r>
          </w:p>
          <w:p w14:paraId="0CB21BB2" w14:textId="77777777" w:rsidR="00442FA6" w:rsidRDefault="00442FA6" w:rsidP="00442FA6">
            <w:pPr>
              <w:pStyle w:val="ZDGName"/>
            </w:pPr>
          </w:p>
          <w:p w14:paraId="27DD43E6" w14:textId="77777777" w:rsidR="00145C0A" w:rsidRDefault="00145C0A" w:rsidP="00442FA6">
            <w:pPr>
              <w:pStyle w:val="ZDGName"/>
            </w:pPr>
          </w:p>
          <w:p w14:paraId="6E82916D" w14:textId="77777777" w:rsidR="00145C0A" w:rsidRDefault="00145C0A" w:rsidP="00442FA6">
            <w:pPr>
              <w:pStyle w:val="ZDGName"/>
            </w:pPr>
          </w:p>
          <w:p w14:paraId="2211F401" w14:textId="77777777" w:rsidR="00145C0A" w:rsidRDefault="00145C0A" w:rsidP="00442FA6">
            <w:pPr>
              <w:pStyle w:val="ZDGName"/>
            </w:pPr>
          </w:p>
        </w:tc>
      </w:tr>
    </w:tbl>
    <w:p w14:paraId="5AD4ECC2" w14:textId="77777777" w:rsidR="00D50BD5" w:rsidRDefault="00D50BD5" w:rsidP="00904F0C">
      <w:pPr>
        <w:spacing w:after="120"/>
        <w:ind w:left="1134" w:hanging="1134"/>
        <w:jc w:val="center"/>
        <w:rPr>
          <w:rFonts w:ascii="Arial" w:hAnsi="Arial"/>
          <w:b/>
          <w:sz w:val="28"/>
        </w:rPr>
      </w:pPr>
    </w:p>
    <w:p w14:paraId="66ABD75C" w14:textId="42E63D73" w:rsidR="00904F0C" w:rsidRPr="005447C3" w:rsidRDefault="009B2951" w:rsidP="00904F0C">
      <w:pPr>
        <w:spacing w:after="120"/>
        <w:ind w:left="1134" w:hanging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PLIEGO DE CONDICIONES PARA</w:t>
      </w:r>
    </w:p>
    <w:p w14:paraId="6971C680" w14:textId="49B2D988" w:rsidR="00F87F66" w:rsidRDefault="005F3F60" w:rsidP="00F61FC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</w:t>
      </w:r>
      <w:r w:rsidR="00904F0C">
        <w:rPr>
          <w:rFonts w:ascii="Arial" w:hAnsi="Arial"/>
          <w:b/>
          <w:sz w:val="28"/>
        </w:rPr>
        <w:t>A VERIFICACIÓN DE LOS GASTOS</w:t>
      </w:r>
    </w:p>
    <w:p w14:paraId="6511B1EC" w14:textId="77777777" w:rsidR="009824F4" w:rsidRDefault="009824F4" w:rsidP="00F61FCE">
      <w:pPr>
        <w:jc w:val="center"/>
        <w:rPr>
          <w:rFonts w:ascii="Arial" w:hAnsi="Arial"/>
          <w:b/>
          <w:sz w:val="28"/>
        </w:rPr>
      </w:pPr>
    </w:p>
    <w:p w14:paraId="4CD913C9" w14:textId="77777777" w:rsidR="00904F0C" w:rsidRPr="005447C3" w:rsidRDefault="00904F0C" w:rsidP="00904F0C">
      <w:pPr>
        <w:rPr>
          <w:vanish/>
        </w:rPr>
      </w:pPr>
    </w:p>
    <w:p w14:paraId="7E86A1EC" w14:textId="77777777" w:rsidR="009824F4" w:rsidRDefault="00904F0C" w:rsidP="00615B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Anexo 2: D</w:t>
      </w:r>
      <w:r w:rsidR="009824F4">
        <w:rPr>
          <w:rFonts w:ascii="Arial" w:hAnsi="Arial"/>
          <w:b/>
          <w:sz w:val="28"/>
        </w:rPr>
        <w:t>irectrices para el</w:t>
      </w:r>
      <w:r>
        <w:rPr>
          <w:rFonts w:ascii="Arial" w:hAnsi="Arial"/>
          <w:b/>
          <w:sz w:val="28"/>
        </w:rPr>
        <w:t xml:space="preserve"> </w:t>
      </w:r>
      <w:r w:rsidR="009824F4">
        <w:rPr>
          <w:rFonts w:ascii="Arial" w:hAnsi="Arial"/>
          <w:b/>
          <w:sz w:val="28"/>
        </w:rPr>
        <w:t>análisis de riesgos y los procedimientos de</w:t>
      </w:r>
      <w:r>
        <w:rPr>
          <w:rFonts w:ascii="Arial" w:hAnsi="Arial"/>
          <w:b/>
          <w:sz w:val="28"/>
        </w:rPr>
        <w:t xml:space="preserve"> </w:t>
      </w:r>
      <w:r w:rsidR="009824F4">
        <w:rPr>
          <w:rFonts w:ascii="Arial" w:hAnsi="Arial"/>
          <w:b/>
          <w:sz w:val="28"/>
        </w:rPr>
        <w:t xml:space="preserve">verificación </w:t>
      </w:r>
    </w:p>
    <w:p w14:paraId="059215D2" w14:textId="77777777" w:rsidR="009824F4" w:rsidRDefault="009824F4" w:rsidP="00615B57">
      <w:pPr>
        <w:jc w:val="center"/>
        <w:rPr>
          <w:rFonts w:ascii="Arial" w:hAnsi="Arial"/>
          <w:b/>
          <w:sz w:val="28"/>
        </w:rPr>
      </w:pPr>
    </w:p>
    <w:p w14:paraId="03D40F7B" w14:textId="77777777" w:rsidR="00841EF9" w:rsidRDefault="00841EF9" w:rsidP="00615B57">
      <w:pPr>
        <w:jc w:val="center"/>
        <w:rPr>
          <w:rFonts w:ascii="Arial" w:hAnsi="Arial"/>
          <w:b/>
          <w:sz w:val="28"/>
        </w:rPr>
      </w:pPr>
    </w:p>
    <w:p w14:paraId="79628712" w14:textId="77777777" w:rsidR="00841EF9" w:rsidRDefault="00841EF9" w:rsidP="00615B57">
      <w:pPr>
        <w:jc w:val="center"/>
        <w:rPr>
          <w:rFonts w:ascii="Arial" w:hAnsi="Arial"/>
          <w:b/>
          <w:sz w:val="28"/>
        </w:rPr>
      </w:pPr>
    </w:p>
    <w:p w14:paraId="505BC50C" w14:textId="7BCF26C9" w:rsidR="009824F4" w:rsidRDefault="00D369ED" w:rsidP="00615B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Índice</w:t>
      </w:r>
    </w:p>
    <w:p w14:paraId="6BA33A31" w14:textId="77777777" w:rsidR="009824F4" w:rsidRDefault="009824F4" w:rsidP="00615B57">
      <w:pPr>
        <w:jc w:val="center"/>
        <w:rPr>
          <w:rFonts w:ascii="Arial" w:hAnsi="Arial"/>
          <w:b/>
          <w:sz w:val="28"/>
        </w:rPr>
      </w:pPr>
    </w:p>
    <w:p w14:paraId="3ED8E674" w14:textId="0DFEDDDD" w:rsidR="00F87F66" w:rsidRPr="008D0FDD" w:rsidRDefault="00904F0C" w:rsidP="00615B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14:paraId="220DC137" w14:textId="77777777" w:rsidR="00E4025D" w:rsidRDefault="00E4025D" w:rsidP="00F87F66">
      <w:pPr>
        <w:rPr>
          <w:vanish/>
        </w:rPr>
      </w:pPr>
    </w:p>
    <w:p w14:paraId="04BA22FE" w14:textId="77777777" w:rsidR="009C0519" w:rsidRDefault="009C0519" w:rsidP="00F87F66">
      <w:pPr>
        <w:rPr>
          <w:vanish/>
        </w:rPr>
      </w:pPr>
    </w:p>
    <w:p w14:paraId="4BB6255E" w14:textId="77777777" w:rsidR="004D5CDC" w:rsidRDefault="009C051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GB" w:eastAsia="en-GB" w:bidi="ar-SA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"1-2" \h \z \u </w:instrText>
      </w:r>
      <w:r>
        <w:rPr>
          <w:rFonts w:ascii="Arial" w:hAnsi="Arial" w:cs="Arial"/>
          <w:b w:val="0"/>
        </w:rPr>
        <w:fldChar w:fldCharType="separate"/>
      </w:r>
      <w:hyperlink w:anchor="_Toc520794370" w:history="1">
        <w:r w:rsidR="004D5CDC" w:rsidRPr="0094593D">
          <w:rPr>
            <w:rStyle w:val="Hyperlink"/>
          </w:rPr>
          <w:t>1. ANÁLISIS DE RIESGOS Y DETERMINACIÓN DE LA MUESTRA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_Toc520794370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2</w:t>
        </w:r>
        <w:r w:rsidR="004D5CDC">
          <w:rPr>
            <w:webHidden/>
          </w:rPr>
          <w:fldChar w:fldCharType="end"/>
        </w:r>
      </w:hyperlink>
    </w:p>
    <w:p w14:paraId="25C46EC7" w14:textId="77777777" w:rsidR="004D5CDC" w:rsidRDefault="00A31B6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GB" w:eastAsia="en-GB" w:bidi="ar-SA"/>
        </w:rPr>
      </w:pPr>
      <w:hyperlink w:anchor="_Toc520794371" w:history="1">
        <w:r w:rsidR="004D5CDC" w:rsidRPr="0094593D">
          <w:rPr>
            <w:rStyle w:val="Hyperlink"/>
          </w:rPr>
          <w:t>2. PROCEDIMIENTOS DE VERIFICACIÓN DE LOS GASTOS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_Toc520794371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2</w:t>
        </w:r>
        <w:r w:rsidR="004D5CDC">
          <w:rPr>
            <w:webHidden/>
          </w:rPr>
          <w:fldChar w:fldCharType="end"/>
        </w:r>
      </w:hyperlink>
    </w:p>
    <w:p w14:paraId="7BDA83C8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2" w:history="1">
        <w:r w:rsidR="004D5CDC" w:rsidRPr="0094593D">
          <w:rPr>
            <w:rStyle w:val="Hyperlink"/>
          </w:rPr>
          <w:t xml:space="preserve">2.1 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 xml:space="preserve"> Los gastos corresponden a la entidad verificada y han sido contraídos por ella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_Toc520794372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2</w:t>
        </w:r>
        <w:r w:rsidR="004D5CDC">
          <w:rPr>
            <w:webHidden/>
          </w:rPr>
          <w:fldChar w:fldCharType="end"/>
        </w:r>
      </w:hyperlink>
    </w:p>
    <w:p w14:paraId="08FE9867" w14:textId="77777777" w:rsidR="004D5CDC" w:rsidRDefault="00A31B6A" w:rsidP="00D369ED">
      <w:pPr>
        <w:pStyle w:val="TOC2"/>
        <w:ind w:left="719" w:hanging="49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3" w:history="1">
        <w:r w:rsidR="004D5CDC" w:rsidRPr="0094593D">
          <w:rPr>
            <w:rStyle w:val="Hyperlink"/>
          </w:rPr>
          <w:t xml:space="preserve">2.2 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Los gastos se registran en el sistema contable de la entidad verificada y/o de las otras entidades responsables del gasto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_Toc520794373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2</w:t>
        </w:r>
        <w:r w:rsidR="004D5CDC">
          <w:rPr>
            <w:webHidden/>
          </w:rPr>
          <w:fldChar w:fldCharType="end"/>
        </w:r>
      </w:hyperlink>
    </w:p>
    <w:p w14:paraId="2A296DED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4" w:history="1">
        <w:r w:rsidR="004D5CDC" w:rsidRPr="0094593D">
          <w:rPr>
            <w:rStyle w:val="Hyperlink"/>
          </w:rPr>
          <w:t>2.3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Gastos contraídos durante el período de elegibilidad contractual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_Toc520794374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126AF405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5" w:history="1">
        <w:r w:rsidR="004D5CDC" w:rsidRPr="0094593D">
          <w:rPr>
            <w:rStyle w:val="Hyperlink"/>
          </w:rPr>
          <w:t>2.4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Gastos indicados en el presupuesto estimativo contractual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_Toc520794375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2C200BE8" w14:textId="77777777" w:rsidR="004D5CDC" w:rsidRDefault="00A31B6A" w:rsidP="00D369ED">
      <w:pPr>
        <w:pStyle w:val="TOC2"/>
        <w:ind w:left="719" w:hanging="49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6" w:history="1">
        <w:r w:rsidR="004D5CDC" w:rsidRPr="0094593D">
          <w:rPr>
            <w:rStyle w:val="Hyperlink"/>
          </w:rPr>
          <w:t>2.5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Gastos necesarios para la ejecución de las actividades contractuales, razonables y justificados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_Toc520794376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64757D93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7" w:history="1">
        <w:r w:rsidR="004D5CDC" w:rsidRPr="0094593D">
          <w:rPr>
            <w:rStyle w:val="Hyperlink"/>
          </w:rPr>
          <w:t>2.6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Gastos identificables y verificables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_Toc520794377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0A5F5662" w14:textId="77777777" w:rsidR="004D5CDC" w:rsidRDefault="00A31B6A" w:rsidP="00D369ED">
      <w:pPr>
        <w:pStyle w:val="TOC2"/>
        <w:ind w:left="719" w:hanging="49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8" w:history="1">
        <w:r w:rsidR="004D5CDC" w:rsidRPr="0094593D">
          <w:rPr>
            <w:rStyle w:val="Hyperlink"/>
          </w:rPr>
          <w:t>2.7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Cumplimiento de los principios de contratación y las normas de nacionalidad y de origen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_Toc520794378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0681A940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79" w:history="1">
        <w:r w:rsidR="004D5CDC" w:rsidRPr="0094593D">
          <w:rPr>
            <w:rStyle w:val="Hyperlink"/>
          </w:rPr>
          <w:t>2.8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Los gastos se ajustan a las exigencias de la legislación fiscal y social aplicable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_Toc520794379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3</w:t>
        </w:r>
        <w:r w:rsidR="004D5CDC">
          <w:rPr>
            <w:webHidden/>
          </w:rPr>
          <w:fldChar w:fldCharType="end"/>
        </w:r>
      </w:hyperlink>
    </w:p>
    <w:p w14:paraId="37469FD8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80" w:history="1">
        <w:r w:rsidR="004D5CDC" w:rsidRPr="0094593D">
          <w:rPr>
            <w:rStyle w:val="Hyperlink"/>
          </w:rPr>
          <w:t>2.9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Apoyo financiero a terceros (subvenciones en cascada)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_Toc520794380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4</w:t>
        </w:r>
        <w:r w:rsidR="004D5CDC">
          <w:rPr>
            <w:webHidden/>
          </w:rPr>
          <w:fldChar w:fldCharType="end"/>
        </w:r>
      </w:hyperlink>
    </w:p>
    <w:p w14:paraId="2B6EDFA9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81" w:history="1">
        <w:r w:rsidR="004D5CDC" w:rsidRPr="0094593D">
          <w:rPr>
            <w:rStyle w:val="Hyperlink"/>
          </w:rPr>
          <w:t>2.10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</w:rPr>
          <w:t>Otros requisitos de elegibilidad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_Toc520794381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4</w:t>
        </w:r>
        <w:r w:rsidR="004D5CDC">
          <w:rPr>
            <w:webHidden/>
          </w:rPr>
          <w:fldChar w:fldCharType="end"/>
        </w:r>
      </w:hyperlink>
    </w:p>
    <w:p w14:paraId="57872717" w14:textId="77777777" w:rsidR="004D5CDC" w:rsidRDefault="00A31B6A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  <w:lang w:val="en-GB" w:eastAsia="en-GB" w:bidi="ar-SA"/>
        </w:rPr>
      </w:pPr>
      <w:hyperlink w:anchor="_Toc520794382" w:history="1">
        <w:r w:rsidR="004D5CDC" w:rsidRPr="0094593D">
          <w:rPr>
            <w:rStyle w:val="Hyperlink"/>
            <w:highlight w:val="darkGray"/>
          </w:rPr>
          <w:t>2.11</w:t>
        </w:r>
        <w:r w:rsidR="004D5CDC">
          <w:rPr>
            <w:rFonts w:asciiTheme="minorHAnsi" w:eastAsiaTheme="minorEastAsia" w:hAnsiTheme="minorHAnsi" w:cstheme="minorBidi"/>
            <w:smallCaps w:val="0"/>
            <w:sz w:val="22"/>
            <w:szCs w:val="22"/>
            <w:lang w:val="en-GB" w:eastAsia="en-GB" w:bidi="ar-SA"/>
          </w:rPr>
          <w:tab/>
        </w:r>
        <w:r w:rsidR="004D5CDC" w:rsidRPr="0094593D">
          <w:rPr>
            <w:rStyle w:val="Hyperlink"/>
            <w:highlight w:val="darkGray"/>
          </w:rPr>
          <w:t>Requisitos adicionales no incluidos en el procedimiento de  verificación estándar</w:t>
        </w:r>
        <w:r w:rsidR="004D5CDC">
          <w:rPr>
            <w:webHidden/>
          </w:rPr>
          <w:tab/>
        </w:r>
        <w:r w:rsidR="004D5CDC">
          <w:rPr>
            <w:webHidden/>
          </w:rPr>
          <w:fldChar w:fldCharType="begin"/>
        </w:r>
        <w:r w:rsidR="004D5CDC">
          <w:rPr>
            <w:webHidden/>
          </w:rPr>
          <w:instrText xml:space="preserve"> PAGEREF _Toc520794382 \h </w:instrText>
        </w:r>
        <w:r w:rsidR="004D5CDC">
          <w:rPr>
            <w:webHidden/>
          </w:rPr>
        </w:r>
        <w:r w:rsidR="004D5CDC">
          <w:rPr>
            <w:webHidden/>
          </w:rPr>
          <w:fldChar w:fldCharType="separate"/>
        </w:r>
        <w:r w:rsidR="004D5CDC">
          <w:rPr>
            <w:webHidden/>
          </w:rPr>
          <w:t>4</w:t>
        </w:r>
        <w:r w:rsidR="004D5CDC">
          <w:rPr>
            <w:webHidden/>
          </w:rPr>
          <w:fldChar w:fldCharType="end"/>
        </w:r>
      </w:hyperlink>
    </w:p>
    <w:p w14:paraId="73DD0CBD" w14:textId="77777777" w:rsidR="00817E77" w:rsidRPr="003E7ED3" w:rsidRDefault="009C0519">
      <w:pPr>
        <w:pStyle w:val="TOC1"/>
        <w:rPr>
          <w:rFonts w:ascii="Calibri" w:hAnsi="Calibri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mallCaps/>
        </w:rPr>
        <w:fldChar w:fldCharType="end"/>
      </w:r>
    </w:p>
    <w:p w14:paraId="460E9A22" w14:textId="77777777" w:rsidR="00E00FE8" w:rsidRDefault="00E00FE8" w:rsidP="009C0519">
      <w:pPr>
        <w:rPr>
          <w:rFonts w:ascii="Arial" w:hAnsi="Arial" w:cs="Arial"/>
          <w:sz w:val="20"/>
        </w:rPr>
      </w:pPr>
    </w:p>
    <w:p w14:paraId="393BD521" w14:textId="77777777" w:rsidR="00E00FE8" w:rsidRDefault="00E00FE8" w:rsidP="009C0519">
      <w:pPr>
        <w:rPr>
          <w:rFonts w:ascii="Arial" w:hAnsi="Arial" w:cs="Arial"/>
          <w:sz w:val="20"/>
        </w:rPr>
      </w:pPr>
    </w:p>
    <w:p w14:paraId="476C3778" w14:textId="51D1E633" w:rsidR="00E4025D" w:rsidRDefault="00904F0C" w:rsidP="003427C0">
      <w:pPr>
        <w:pStyle w:val="Heading1"/>
        <w:numPr>
          <w:ilvl w:val="0"/>
          <w:numId w:val="0"/>
        </w:numPr>
        <w:ind w:left="432" w:hanging="432"/>
      </w:pPr>
      <w:r>
        <w:br w:type="page"/>
      </w:r>
      <w:bookmarkStart w:id="1" w:name="_Toc506468586"/>
      <w:bookmarkStart w:id="2" w:name="_Toc520794370"/>
      <w:r>
        <w:lastRenderedPageBreak/>
        <w:t>1. ANÁLISIS DE RIESGOS</w:t>
      </w:r>
      <w:bookmarkEnd w:id="1"/>
      <w:r>
        <w:t xml:space="preserve"> Y DETERMINACIÓN DE LA MUESTRA</w:t>
      </w:r>
      <w:bookmarkEnd w:id="2"/>
    </w:p>
    <w:p w14:paraId="1D98C053" w14:textId="77777777" w:rsidR="003A1810" w:rsidRPr="003A1810" w:rsidRDefault="003A1810" w:rsidP="003A1810"/>
    <w:p w14:paraId="0816FFCE" w14:textId="34348A84" w:rsidR="003A1810" w:rsidRPr="003427C0" w:rsidRDefault="008D6AE4" w:rsidP="003A1810">
      <w:pPr>
        <w:jc w:val="both"/>
        <w:rPr>
          <w:szCs w:val="24"/>
        </w:rPr>
      </w:pPr>
      <w:r>
        <w:t>El verificador de gastos deberá evaluar</w:t>
      </w:r>
      <w:r w:rsidR="004456C5">
        <w:t>,</w:t>
      </w:r>
      <w:r>
        <w:t xml:space="preserve"> los riesgos de errores materiales o inexactitudes en los gastos e ingresos declarados en el informe financiero</w:t>
      </w:r>
      <w:r w:rsidR="004456C5">
        <w:t>,</w:t>
      </w:r>
      <w:r>
        <w:t xml:space="preserve"> a fin de determinar el tamaño y la estructura de la muestra de gasto</w:t>
      </w:r>
      <w:r w:rsidR="004456C5">
        <w:t>,</w:t>
      </w:r>
      <w:r>
        <w:t xml:space="preserve"> que se someterá a verificación</w:t>
      </w:r>
      <w:r w:rsidR="004456C5">
        <w:t>,</w:t>
      </w:r>
      <w:r>
        <w:t xml:space="preserve"> con arreglo a los procedimientos descritos en la sección</w:t>
      </w:r>
      <w:r w:rsidR="001033D1">
        <w:t xml:space="preserve"> </w:t>
      </w:r>
      <w:r>
        <w:t>2.</w:t>
      </w:r>
    </w:p>
    <w:p w14:paraId="75603888" w14:textId="77777777" w:rsidR="003A1810" w:rsidRPr="003427C0" w:rsidRDefault="003A1810" w:rsidP="003A1810">
      <w:pPr>
        <w:jc w:val="both"/>
        <w:rPr>
          <w:szCs w:val="24"/>
        </w:rPr>
      </w:pPr>
    </w:p>
    <w:p w14:paraId="0765AA2D" w14:textId="774E00BB" w:rsidR="008D6AE4" w:rsidRPr="003427C0" w:rsidRDefault="008D6AE4" w:rsidP="003A1810">
      <w:pPr>
        <w:jc w:val="both"/>
        <w:rPr>
          <w:szCs w:val="24"/>
        </w:rPr>
      </w:pPr>
      <w:r>
        <w:t xml:space="preserve">Esta tarea </w:t>
      </w:r>
      <w:r w:rsidR="005F3F60">
        <w:t>implica evaluar el riesgo</w:t>
      </w:r>
      <w:r w:rsidR="004456C5">
        <w:t xml:space="preserve"> inherente a</w:t>
      </w:r>
      <w:r>
        <w:t>:</w:t>
      </w:r>
    </w:p>
    <w:p w14:paraId="623E420F" w14:textId="77777777" w:rsidR="00181A77" w:rsidRPr="003427C0" w:rsidRDefault="00181A77" w:rsidP="00181A77">
      <w:pPr>
        <w:jc w:val="both"/>
        <w:rPr>
          <w:szCs w:val="24"/>
        </w:rPr>
      </w:pPr>
      <w:r>
        <w:t>•</w:t>
      </w:r>
      <w:r>
        <w:tab/>
        <w:t>El informe financiero no sea fiable, es decir, que no presente, en todos los aspectos materiales, los gastos contraídos y los ingresos obtenidos realmente conforme a las condiciones aplicables.</w:t>
      </w:r>
    </w:p>
    <w:p w14:paraId="09791EC2" w14:textId="1E43CEFA" w:rsidR="003A1810" w:rsidRPr="003427C0" w:rsidRDefault="003A1810" w:rsidP="003A1810">
      <w:pPr>
        <w:jc w:val="both"/>
        <w:rPr>
          <w:szCs w:val="24"/>
        </w:rPr>
      </w:pPr>
      <w:r>
        <w:t>•</w:t>
      </w:r>
      <w:r>
        <w:tab/>
        <w:t>Los gastos declarados en el informe financiero</w:t>
      </w:r>
      <w:r w:rsidR="00497C9B">
        <w:t>,</w:t>
      </w:r>
      <w:r>
        <w:t xml:space="preserve"> no hayan sido efectuados, en todos los aspectos materiales, conforme a las condiciones </w:t>
      </w:r>
      <w:r w:rsidR="005F3F60">
        <w:t>contractuales</w:t>
      </w:r>
      <w:r>
        <w:t>.</w:t>
      </w:r>
    </w:p>
    <w:p w14:paraId="069D9BC6" w14:textId="067EFE92" w:rsidR="00181A77" w:rsidRPr="003427C0" w:rsidRDefault="00181A77" w:rsidP="003A1810">
      <w:pPr>
        <w:jc w:val="both"/>
        <w:rPr>
          <w:szCs w:val="24"/>
        </w:rPr>
      </w:pPr>
      <w:r>
        <w:t>•</w:t>
      </w:r>
      <w:r>
        <w:tab/>
        <w:t>Los ingresos generad</w:t>
      </w:r>
      <w:r w:rsidR="004456C5">
        <w:t>os por la entidad verificada</w:t>
      </w:r>
      <w:r w:rsidR="00497C9B">
        <w:t>,</w:t>
      </w:r>
      <w:r>
        <w:t xml:space="preserve"> en la ejecución del contrato</w:t>
      </w:r>
      <w:r w:rsidR="00497C9B">
        <w:t>,</w:t>
      </w:r>
      <w:r>
        <w:t xml:space="preserve"> no se hayan deducido de los gastos declarados conforme a las condiciones aplicables. </w:t>
      </w:r>
    </w:p>
    <w:p w14:paraId="676D9D3F" w14:textId="7607F0F0" w:rsidR="008D6AE4" w:rsidRPr="003427C0" w:rsidRDefault="008D6AE4" w:rsidP="003A1810">
      <w:pPr>
        <w:jc w:val="both"/>
        <w:rPr>
          <w:szCs w:val="24"/>
        </w:rPr>
      </w:pPr>
      <w:r>
        <w:t>•</w:t>
      </w:r>
      <w:r>
        <w:tab/>
        <w:t>Se hayan producido fraudes e irregularidades</w:t>
      </w:r>
      <w:r w:rsidR="00497C9B">
        <w:t>,</w:t>
      </w:r>
      <w:r>
        <w:t xml:space="preserve"> que podrían haber tenido un impacto en los gastos o los ingresos declarados en el marco del contrato.</w:t>
      </w:r>
    </w:p>
    <w:p w14:paraId="73365B11" w14:textId="77777777" w:rsidR="00663A17" w:rsidRPr="003427C0" w:rsidRDefault="00663A17" w:rsidP="003A1810">
      <w:pPr>
        <w:jc w:val="both"/>
        <w:rPr>
          <w:szCs w:val="24"/>
        </w:rPr>
      </w:pPr>
    </w:p>
    <w:p w14:paraId="07508B92" w14:textId="50F8EB73" w:rsidR="00E4025D" w:rsidRPr="003427C0" w:rsidRDefault="008D6AE4" w:rsidP="004C6C45">
      <w:pPr>
        <w:jc w:val="both"/>
        <w:rPr>
          <w:szCs w:val="24"/>
        </w:rPr>
      </w:pPr>
      <w:r>
        <w:t>El verificador de gastos deberá evaluar el riesgo inherente basado, entre otras cosas, en el número y la complejidad de las transacciones, la complejidad de las actividades previstas por el contrato, el número de entidades de ejecución implicadas y el ento</w:t>
      </w:r>
      <w:r w:rsidR="005F3F60">
        <w:t>rno en el que se ejecuta el c</w:t>
      </w:r>
      <w:r>
        <w:t>ontrato. Además, sobre la base, entre otras cosas, de la información facilitada en el anexo</w:t>
      </w:r>
      <w:r w:rsidR="001033D1">
        <w:t xml:space="preserve"> </w:t>
      </w:r>
      <w:r>
        <w:t>1 del PdC (</w:t>
      </w:r>
      <w:r>
        <w:rPr>
          <w:i/>
        </w:rPr>
        <w:t xml:space="preserve">Contexto </w:t>
      </w:r>
      <w:r w:rsidR="005F3F60">
        <w:rPr>
          <w:i/>
        </w:rPr>
        <w:t>de la misión</w:t>
      </w:r>
      <w:r>
        <w:rPr>
          <w:i/>
        </w:rPr>
        <w:t xml:space="preserve"> / Información </w:t>
      </w:r>
      <w:r w:rsidR="005F3F60">
        <w:rPr>
          <w:i/>
        </w:rPr>
        <w:t>c</w:t>
      </w:r>
      <w:r>
        <w:rPr>
          <w:i/>
        </w:rPr>
        <w:t>lave</w:t>
      </w:r>
      <w:r>
        <w:t>), el verificador de gastos tendrá en cuenta el riesgo de control, esto es, si la concepción del sistema de control interno reduce suficientemente los riesgos inheren</w:t>
      </w:r>
      <w:r w:rsidR="00497C9B">
        <w:t>tes detectados y si es factible</w:t>
      </w:r>
      <w:r>
        <w:t xml:space="preserve"> que funcione con eficacia.</w:t>
      </w:r>
    </w:p>
    <w:p w14:paraId="38072533" w14:textId="77777777" w:rsidR="008D6AE4" w:rsidRPr="00E4025D" w:rsidRDefault="008D6AE4" w:rsidP="00E4025D"/>
    <w:p w14:paraId="052AE21C" w14:textId="77777777" w:rsidR="00615B57" w:rsidRDefault="003427C0" w:rsidP="003427C0">
      <w:pPr>
        <w:pStyle w:val="Heading1"/>
        <w:numPr>
          <w:ilvl w:val="0"/>
          <w:numId w:val="0"/>
        </w:numPr>
        <w:ind w:left="432" w:hanging="432"/>
      </w:pPr>
      <w:bookmarkStart w:id="3" w:name="_Toc506468587"/>
      <w:bookmarkStart w:id="4" w:name="_Toc520794371"/>
      <w:r>
        <w:t>2. PROCEDIMIENTOS DE VERIFICACIÓN DE LOS GASTOS</w:t>
      </w:r>
      <w:bookmarkEnd w:id="3"/>
      <w:bookmarkEnd w:id="4"/>
      <w:r>
        <w:t xml:space="preserve"> </w:t>
      </w:r>
    </w:p>
    <w:p w14:paraId="5930F1B6" w14:textId="77777777" w:rsidR="00345F3C" w:rsidRPr="00345F3C" w:rsidRDefault="00345F3C" w:rsidP="00345F3C"/>
    <w:p w14:paraId="4A1B8585" w14:textId="6DC74E45" w:rsidR="00F82C27" w:rsidRDefault="00E5478E" w:rsidP="00C42151">
      <w:pPr>
        <w:jc w:val="both"/>
        <w:rPr>
          <w:szCs w:val="24"/>
        </w:rPr>
      </w:pPr>
      <w:r>
        <w:t>El verificador de gastos deberá llevar a cabo las siguientes verificaciones, a menos que care</w:t>
      </w:r>
      <w:r w:rsidR="005F3F60">
        <w:t>zcan</w:t>
      </w:r>
      <w:r>
        <w:t xml:space="preserve"> de pertinencia en relación con los criterios de </w:t>
      </w:r>
      <w:r w:rsidR="005F3F60">
        <w:t>elegibilidad</w:t>
      </w:r>
      <w:r>
        <w:t xml:space="preserve"> aplicables al tipo de contrato. Por lo tanto, el verificador de gastos tendrá que alcanzar una correcta comprensión de este requisito</w:t>
      </w:r>
      <w:r w:rsidR="000D34CA">
        <w:t>,</w:t>
      </w:r>
      <w:r>
        <w:t xml:space="preserve"> a fin de realizar únicamente las comprobaciones pertinentes y aplicar adecuadamente los requisitos de </w:t>
      </w:r>
      <w:r w:rsidR="005F3F60">
        <w:t>elegibilidad</w:t>
      </w:r>
      <w:r w:rsidR="009B2951">
        <w:t xml:space="preserve"> pertinentes.</w:t>
      </w:r>
    </w:p>
    <w:p w14:paraId="45B5AD08" w14:textId="3C5FAA2A" w:rsidR="00960B95" w:rsidRPr="003427C0" w:rsidRDefault="00960B95" w:rsidP="00C42151">
      <w:pPr>
        <w:jc w:val="both"/>
        <w:rPr>
          <w:szCs w:val="24"/>
        </w:rPr>
      </w:pPr>
    </w:p>
    <w:p w14:paraId="65BBE48B" w14:textId="786D6E65" w:rsidR="00986AAC" w:rsidRPr="003427C0" w:rsidRDefault="00F42112" w:rsidP="00F42112">
      <w:pPr>
        <w:pStyle w:val="Heading2"/>
        <w:numPr>
          <w:ilvl w:val="0"/>
          <w:numId w:val="0"/>
        </w:numPr>
        <w:rPr>
          <w:color w:val="000000"/>
          <w:szCs w:val="24"/>
        </w:rPr>
      </w:pPr>
      <w:bookmarkStart w:id="5" w:name="_Toc506468588"/>
      <w:bookmarkStart w:id="6" w:name="_Toc520794372"/>
      <w:r>
        <w:rPr>
          <w:color w:val="000000"/>
        </w:rPr>
        <w:t xml:space="preserve">2.1 </w:t>
      </w:r>
      <w:r>
        <w:tab/>
      </w:r>
      <w:r>
        <w:rPr>
          <w:color w:val="000000"/>
        </w:rPr>
        <w:t xml:space="preserve"> Los gastos corres</w:t>
      </w:r>
      <w:r w:rsidR="000D34CA">
        <w:rPr>
          <w:color w:val="000000"/>
        </w:rPr>
        <w:t>ponden a la entidad verificada</w:t>
      </w:r>
      <w:r>
        <w:rPr>
          <w:color w:val="000000"/>
        </w:rPr>
        <w:t xml:space="preserve"> y han sido contraídos por ella</w:t>
      </w:r>
      <w:bookmarkEnd w:id="5"/>
      <w:bookmarkEnd w:id="6"/>
    </w:p>
    <w:p w14:paraId="743BA420" w14:textId="19310DCF" w:rsidR="00DB6F0C" w:rsidRDefault="00F42112" w:rsidP="00F42112">
      <w:pPr>
        <w:pStyle w:val="Heading2"/>
        <w:numPr>
          <w:ilvl w:val="0"/>
          <w:numId w:val="0"/>
        </w:numPr>
        <w:jc w:val="both"/>
      </w:pPr>
      <w:bookmarkStart w:id="7" w:name="_Toc506468589"/>
      <w:bookmarkStart w:id="8" w:name="_Toc520794373"/>
      <w:r>
        <w:t xml:space="preserve">2.2 </w:t>
      </w:r>
      <w:r>
        <w:tab/>
        <w:t xml:space="preserve">Los gastos se registran en el sistema contable de la entidad </w:t>
      </w:r>
      <w:r w:rsidR="000D34CA">
        <w:t>verificada</w:t>
      </w:r>
      <w:r>
        <w:t xml:space="preserve"> </w:t>
      </w:r>
      <w:r w:rsidR="000D34CA">
        <w:t>y/</w:t>
      </w:r>
      <w:r>
        <w:t>o de las otras entidades responsables del gasto</w:t>
      </w:r>
      <w:bookmarkEnd w:id="7"/>
      <w:bookmarkEnd w:id="8"/>
    </w:p>
    <w:p w14:paraId="2F145497" w14:textId="27EAD1BB" w:rsidR="00986AAC" w:rsidRPr="003427C0" w:rsidRDefault="00345F3C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Los gastos se registran en el sistema co</w:t>
      </w:r>
      <w:r w:rsidR="000D34CA">
        <w:rPr>
          <w:color w:val="000000"/>
        </w:rPr>
        <w:t>ntable de la entidad verificada</w:t>
      </w:r>
      <w:r>
        <w:rPr>
          <w:color w:val="000000"/>
        </w:rPr>
        <w:t xml:space="preserve"> </w:t>
      </w:r>
      <w:r w:rsidR="000D34CA">
        <w:rPr>
          <w:color w:val="000000"/>
        </w:rPr>
        <w:t>y/</w:t>
      </w:r>
      <w:r>
        <w:rPr>
          <w:color w:val="000000"/>
        </w:rPr>
        <w:t>o de las otras entidades responsables del gasto de acuerdo con las normas contables aplicables y las prácticas de contabilidad de costes habi</w:t>
      </w:r>
      <w:r w:rsidR="000D34CA">
        <w:rPr>
          <w:color w:val="000000"/>
        </w:rPr>
        <w:t>tuales de la entidad verificada</w:t>
      </w:r>
      <w:r>
        <w:rPr>
          <w:color w:val="000000"/>
        </w:rPr>
        <w:t>.</w:t>
      </w:r>
    </w:p>
    <w:p w14:paraId="39FDED29" w14:textId="308DB3ED" w:rsidR="00615B57" w:rsidRDefault="00F42112" w:rsidP="00F42112">
      <w:pPr>
        <w:pStyle w:val="Heading2"/>
        <w:numPr>
          <w:ilvl w:val="0"/>
          <w:numId w:val="0"/>
        </w:numPr>
      </w:pPr>
      <w:bookmarkStart w:id="9" w:name="_Toc506468590"/>
      <w:bookmarkStart w:id="10" w:name="_Toc520794374"/>
      <w:r>
        <w:lastRenderedPageBreak/>
        <w:t>2.3</w:t>
      </w:r>
      <w:r>
        <w:tab/>
        <w:t xml:space="preserve">Gastos contraídos durante el período de </w:t>
      </w:r>
      <w:r w:rsidR="005F3F60">
        <w:t>elegibilidad</w:t>
      </w:r>
      <w:r>
        <w:t xml:space="preserve"> contractual</w:t>
      </w:r>
      <w:bookmarkEnd w:id="9"/>
      <w:bookmarkEnd w:id="10"/>
      <w:r>
        <w:t xml:space="preserve"> </w:t>
      </w:r>
    </w:p>
    <w:p w14:paraId="5D802299" w14:textId="77777777" w:rsidR="00986AAC" w:rsidRPr="003427C0" w:rsidRDefault="00986AAC" w:rsidP="003427C0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gastos declarados en el informe financiero </w:t>
      </w:r>
      <w:r>
        <w:rPr>
          <w:color w:val="000000"/>
          <w:u w:val="single"/>
        </w:rPr>
        <w:t>se comprometieron</w:t>
      </w:r>
      <w:r>
        <w:rPr>
          <w:color w:val="000000"/>
        </w:rPr>
        <w:t xml:space="preserve"> durante el período de ejecución de la acción, con excepción de los gastos relativos a los informes finales, la verificación de los gastos, la auditoría y la evaluación. Los gastos </w:t>
      </w:r>
      <w:r>
        <w:rPr>
          <w:color w:val="000000"/>
          <w:u w:val="single"/>
        </w:rPr>
        <w:t>pagados</w:t>
      </w:r>
      <w:r>
        <w:rPr>
          <w:color w:val="000000"/>
        </w:rPr>
        <w:t xml:space="preserve"> tras la presentación del informe financiero se incluirán en el informe final junto con la fecha estimada de pago.</w:t>
      </w:r>
    </w:p>
    <w:p w14:paraId="17BC2638" w14:textId="550BA2F7" w:rsidR="00E4025D" w:rsidRDefault="00F42112" w:rsidP="00F42112">
      <w:pPr>
        <w:pStyle w:val="Heading2"/>
        <w:numPr>
          <w:ilvl w:val="0"/>
          <w:numId w:val="0"/>
        </w:numPr>
      </w:pPr>
      <w:bookmarkStart w:id="11" w:name="_Toc506468591"/>
      <w:bookmarkStart w:id="12" w:name="_Toc520794375"/>
      <w:r>
        <w:t>2.4</w:t>
      </w:r>
      <w:r>
        <w:tab/>
        <w:t>Gastos indicados en el presupuesto estimativo</w:t>
      </w:r>
      <w:bookmarkEnd w:id="11"/>
      <w:r w:rsidR="005F3F60">
        <w:t xml:space="preserve"> contractual</w:t>
      </w:r>
      <w:bookmarkEnd w:id="12"/>
    </w:p>
    <w:p w14:paraId="2812F5A2" w14:textId="77777777" w:rsidR="00986AAC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Los gastos consignados en el informe financiero se habían indicado en el presupuesto contractual.</w:t>
      </w:r>
    </w:p>
    <w:p w14:paraId="7A65FFAB" w14:textId="77777777" w:rsidR="005F75A3" w:rsidRPr="003427C0" w:rsidRDefault="005F75A3" w:rsidP="003427C0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Los límites máximos presupuestarios aplicables no han sido superados.</w:t>
      </w:r>
    </w:p>
    <w:p w14:paraId="360E4FB0" w14:textId="77777777" w:rsidR="00410229" w:rsidRPr="003427C0" w:rsidRDefault="00410229" w:rsidP="003427C0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Los gastos se han consignado en la partida correcta del informe financiero.</w:t>
      </w:r>
    </w:p>
    <w:p w14:paraId="5E13E37C" w14:textId="19615108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13" w:name="_Toc506468592"/>
      <w:bookmarkStart w:id="14" w:name="_Toc520794376"/>
      <w:r>
        <w:t>2.5</w:t>
      </w:r>
      <w:r>
        <w:tab/>
        <w:t>Gastos necesarios para la ejecución de las actividades contrac</w:t>
      </w:r>
      <w:r w:rsidR="009B2951">
        <w:t>tuales, razonables y justificado</w:t>
      </w:r>
      <w:r>
        <w:t>s</w:t>
      </w:r>
      <w:bookmarkEnd w:id="13"/>
      <w:bookmarkEnd w:id="14"/>
    </w:p>
    <w:p w14:paraId="3C0AF000" w14:textId="77777777" w:rsidR="003427C0" w:rsidRPr="003427C0" w:rsidRDefault="003427C0" w:rsidP="003427C0"/>
    <w:p w14:paraId="0AA615AE" w14:textId="06EE83C2" w:rsidR="00960B95" w:rsidRPr="003427C0" w:rsidRDefault="001B66CF" w:rsidP="009E5577">
      <w:pPr>
        <w:jc w:val="both"/>
        <w:rPr>
          <w:color w:val="000000"/>
          <w:szCs w:val="24"/>
        </w:rPr>
      </w:pPr>
      <w:r>
        <w:rPr>
          <w:color w:val="000000"/>
        </w:rPr>
        <w:t>Es plausible</w:t>
      </w:r>
      <w:r w:rsidR="008B2592">
        <w:rPr>
          <w:color w:val="000000"/>
        </w:rPr>
        <w:t>,</w:t>
      </w:r>
      <w:r>
        <w:rPr>
          <w:color w:val="000000"/>
        </w:rPr>
        <w:t xml:space="preserve"> que los gastos directos e indirectos incluidos en el informe financiero </w:t>
      </w:r>
      <w:r w:rsidR="005F3F60">
        <w:rPr>
          <w:color w:val="000000"/>
        </w:rPr>
        <w:t>fueran</w:t>
      </w:r>
      <w:r>
        <w:rPr>
          <w:color w:val="000000"/>
        </w:rPr>
        <w:t xml:space="preserve"> necesarios para la ejecución de las actividades contractuales.</w:t>
      </w:r>
    </w:p>
    <w:p w14:paraId="209A7A59" w14:textId="77777777" w:rsidR="00471816" w:rsidRPr="003427C0" w:rsidRDefault="00471816" w:rsidP="009E5577">
      <w:pPr>
        <w:jc w:val="both"/>
        <w:rPr>
          <w:color w:val="000000"/>
          <w:szCs w:val="24"/>
        </w:rPr>
      </w:pPr>
    </w:p>
    <w:p w14:paraId="61545C68" w14:textId="77777777" w:rsidR="001B66CF" w:rsidRPr="003427C0" w:rsidRDefault="001B66CF" w:rsidP="009E5577">
      <w:pPr>
        <w:jc w:val="both"/>
        <w:rPr>
          <w:color w:val="000000"/>
          <w:szCs w:val="24"/>
        </w:rPr>
      </w:pPr>
      <w:r>
        <w:rPr>
          <w:color w:val="000000"/>
        </w:rPr>
        <w:t>El importe de las partidas de gastos incluidas en el informe financiero es razonable y está justificado, y respeta el principio de buena gestión financiera.</w:t>
      </w:r>
    </w:p>
    <w:p w14:paraId="7C69E4D5" w14:textId="77777777" w:rsidR="00960B95" w:rsidRDefault="00F42112" w:rsidP="00F42112">
      <w:pPr>
        <w:pStyle w:val="Heading2"/>
        <w:numPr>
          <w:ilvl w:val="0"/>
          <w:numId w:val="0"/>
        </w:numPr>
      </w:pPr>
      <w:bookmarkStart w:id="15" w:name="_Toc506468593"/>
      <w:bookmarkStart w:id="16" w:name="_Toc520794377"/>
      <w:r>
        <w:t>2.6</w:t>
      </w:r>
      <w:r>
        <w:tab/>
        <w:t>Gastos identificables y verificables</w:t>
      </w:r>
      <w:bookmarkEnd w:id="15"/>
      <w:bookmarkEnd w:id="16"/>
    </w:p>
    <w:p w14:paraId="057CC488" w14:textId="77777777" w:rsidR="00986AAC" w:rsidRDefault="001B66CF" w:rsidP="003427C0">
      <w:pPr>
        <w:jc w:val="both"/>
        <w:rPr>
          <w:color w:val="000000"/>
          <w:szCs w:val="24"/>
        </w:rPr>
      </w:pPr>
      <w:r>
        <w:rPr>
          <w:color w:val="000000"/>
        </w:rPr>
        <w:t xml:space="preserve">Los gastos están respaldados por pruebas de pago y justificantes suficientes (facturas, contratos, órdenes de pedido, nóminas, hojas de tiempo trabajado, etc.). </w:t>
      </w:r>
    </w:p>
    <w:p w14:paraId="1E8C4058" w14:textId="77777777" w:rsidR="00A14E1D" w:rsidRDefault="00A14E1D" w:rsidP="003427C0">
      <w:pPr>
        <w:jc w:val="both"/>
        <w:rPr>
          <w:color w:val="000000"/>
          <w:szCs w:val="24"/>
        </w:rPr>
      </w:pPr>
    </w:p>
    <w:p w14:paraId="058D2685" w14:textId="77777777" w:rsidR="00A14E1D" w:rsidRPr="00642D53" w:rsidRDefault="00730B2C" w:rsidP="003427C0">
      <w:pPr>
        <w:jc w:val="both"/>
        <w:rPr>
          <w:color w:val="000000"/>
          <w:szCs w:val="24"/>
        </w:rPr>
      </w:pPr>
      <w:r>
        <w:rPr>
          <w:color w:val="000000"/>
        </w:rPr>
        <w:t>Cuando se repartieron los gastos, la clave de reparto aplicada se basó en una información subyacente suficiente, adecuada y verificable.</w:t>
      </w:r>
    </w:p>
    <w:p w14:paraId="130B78C9" w14:textId="77777777" w:rsidR="001B66CF" w:rsidRPr="00642D53" w:rsidRDefault="001B66CF" w:rsidP="003427C0">
      <w:pPr>
        <w:jc w:val="both"/>
        <w:rPr>
          <w:color w:val="000000"/>
          <w:szCs w:val="24"/>
        </w:rPr>
      </w:pPr>
    </w:p>
    <w:p w14:paraId="3A2580E6" w14:textId="07416400" w:rsidR="00986AAC" w:rsidRPr="00642D53" w:rsidRDefault="001B66CF" w:rsidP="003427C0">
      <w:pPr>
        <w:jc w:val="both"/>
        <w:rPr>
          <w:color w:val="000000"/>
          <w:szCs w:val="24"/>
        </w:rPr>
      </w:pPr>
      <w:r>
        <w:rPr>
          <w:color w:val="000000"/>
        </w:rPr>
        <w:t>Los gastos están respaldados por justificantes de las obras</w:t>
      </w:r>
      <w:r w:rsidR="008B2592">
        <w:rPr>
          <w:color w:val="000000"/>
        </w:rPr>
        <w:t>/actividades</w:t>
      </w:r>
      <w:r>
        <w:rPr>
          <w:color w:val="000000"/>
        </w:rPr>
        <w:t xml:space="preserve"> realizadas, las mercancías recibidas o los servicios prestados. La existencia de activos es verificable.</w:t>
      </w:r>
    </w:p>
    <w:p w14:paraId="4BCED524" w14:textId="77777777" w:rsidR="00410229" w:rsidRDefault="00F42112" w:rsidP="00F42112">
      <w:pPr>
        <w:pStyle w:val="Heading2"/>
        <w:numPr>
          <w:ilvl w:val="0"/>
          <w:numId w:val="0"/>
        </w:numPr>
        <w:jc w:val="both"/>
      </w:pPr>
      <w:bookmarkStart w:id="17" w:name="_Toc506468594"/>
      <w:bookmarkStart w:id="18" w:name="_Toc520794378"/>
      <w:r>
        <w:t>2.7</w:t>
      </w:r>
      <w:r>
        <w:tab/>
        <w:t>Cumplimiento de los principios de contratación y las normas de nacionalidad y de origen</w:t>
      </w:r>
      <w:bookmarkEnd w:id="17"/>
      <w:bookmarkEnd w:id="18"/>
    </w:p>
    <w:p w14:paraId="58D39AE5" w14:textId="767CABF3" w:rsidR="00410229" w:rsidRPr="00642D53" w:rsidRDefault="00293FEF" w:rsidP="009E5577">
      <w:pPr>
        <w:jc w:val="both"/>
        <w:rPr>
          <w:color w:val="000000"/>
          <w:szCs w:val="24"/>
        </w:rPr>
      </w:pPr>
      <w:r>
        <w:rPr>
          <w:color w:val="000000"/>
        </w:rPr>
        <w:t xml:space="preserve">Para las partidas de gastos en cuestión, la entidad </w:t>
      </w:r>
      <w:r w:rsidR="003340A8">
        <w:rPr>
          <w:color w:val="000000"/>
        </w:rPr>
        <w:t>verificada</w:t>
      </w:r>
      <w:r>
        <w:rPr>
          <w:color w:val="000000"/>
        </w:rPr>
        <w:t xml:space="preserve"> ha satisfecho los requisitos aplicables a la contratación pública. Se han aplicado las normas contractuales de nacionalidad y de origen, incluidas las relativas a excepciones que puede conceder la Comisión.</w:t>
      </w:r>
    </w:p>
    <w:p w14:paraId="48EA34B5" w14:textId="77777777" w:rsidR="00960B95" w:rsidRDefault="00F42112" w:rsidP="00F42112">
      <w:pPr>
        <w:pStyle w:val="Heading2"/>
        <w:numPr>
          <w:ilvl w:val="0"/>
          <w:numId w:val="0"/>
        </w:numPr>
        <w:jc w:val="both"/>
      </w:pPr>
      <w:bookmarkStart w:id="19" w:name="_Toc506468595"/>
      <w:bookmarkStart w:id="20" w:name="_Toc520794379"/>
      <w:r>
        <w:t>2.8</w:t>
      </w:r>
      <w:r>
        <w:tab/>
        <w:t>Los gastos se ajustan a las exigencias de la legislación fiscal y social aplicable</w:t>
      </w:r>
      <w:bookmarkEnd w:id="19"/>
      <w:bookmarkEnd w:id="20"/>
    </w:p>
    <w:p w14:paraId="5BF4E4B6" w14:textId="27DD9240" w:rsidR="00986AAC" w:rsidRPr="00642D53" w:rsidRDefault="00293FEF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Para las partidas de gastos en cuestión, la entidad </w:t>
      </w:r>
      <w:r w:rsidR="003340A8">
        <w:rPr>
          <w:color w:val="000000"/>
        </w:rPr>
        <w:t>verificada,</w:t>
      </w:r>
      <w:r>
        <w:rPr>
          <w:color w:val="000000"/>
        </w:rPr>
        <w:t xml:space="preserve"> satisface los requisitos de la legislación fiscal y de la seguridad social (por ejemplo: cuota fiscal, cotizaciones a la seguridad social y de pensión correspondientes al empleador).</w:t>
      </w:r>
    </w:p>
    <w:p w14:paraId="5CF6F59A" w14:textId="77777777" w:rsidR="00087C96" w:rsidRDefault="00F42112" w:rsidP="00F42112">
      <w:pPr>
        <w:pStyle w:val="Heading2"/>
        <w:numPr>
          <w:ilvl w:val="0"/>
          <w:numId w:val="0"/>
        </w:numPr>
      </w:pPr>
      <w:bookmarkStart w:id="21" w:name="_Toc506468596"/>
      <w:bookmarkStart w:id="22" w:name="_Toc520794380"/>
      <w:r>
        <w:lastRenderedPageBreak/>
        <w:t>2.9</w:t>
      </w:r>
      <w:r>
        <w:tab/>
        <w:t>Apoyo financiero a terceros (subvenciones en cascada)</w:t>
      </w:r>
      <w:bookmarkEnd w:id="21"/>
      <w:bookmarkEnd w:id="22"/>
    </w:p>
    <w:p w14:paraId="09390CD6" w14:textId="77777777" w:rsidR="00087C96" w:rsidRPr="00642D53" w:rsidRDefault="009A1EF0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El apoyo financiero a terceros está previsto en las condiciones contractuales y su importe no excede de los límites contractuales.</w:t>
      </w:r>
    </w:p>
    <w:p w14:paraId="6CAE12D4" w14:textId="150B3D25" w:rsidR="00087C96" w:rsidRPr="00642D53" w:rsidRDefault="00C510AF" w:rsidP="00986AA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gastos contraídos por terceros cumplen los requisitos de </w:t>
      </w:r>
      <w:r w:rsidR="005F3F60">
        <w:rPr>
          <w:color w:val="000000"/>
        </w:rPr>
        <w:t>elegibilidad</w:t>
      </w:r>
      <w:r>
        <w:rPr>
          <w:color w:val="000000"/>
        </w:rPr>
        <w:t xml:space="preserve">. En particular, corresponden al tercero en cuestión y fueron contraídos por este durante el período de </w:t>
      </w:r>
      <w:r w:rsidR="005F3F60">
        <w:rPr>
          <w:color w:val="000000"/>
        </w:rPr>
        <w:t>elegibilidad</w:t>
      </w:r>
      <w:r>
        <w:rPr>
          <w:color w:val="000000"/>
        </w:rPr>
        <w:t xml:space="preserve"> fijado en el contrato, son necesarios para la ejecución de las actividades contractuales y son identificables y verificables (véase la definición en el punto</w:t>
      </w:r>
      <w:r w:rsidR="001033D1">
        <w:rPr>
          <w:color w:val="000000"/>
        </w:rPr>
        <w:t xml:space="preserve"> </w:t>
      </w:r>
      <w:r>
        <w:rPr>
          <w:color w:val="000000"/>
        </w:rPr>
        <w:t>2.6).</w:t>
      </w:r>
    </w:p>
    <w:p w14:paraId="6D154BD8" w14:textId="5B7FCE41" w:rsidR="00DB6F0C" w:rsidRPr="00615B57" w:rsidRDefault="00F42112" w:rsidP="00F42112">
      <w:pPr>
        <w:pStyle w:val="Heading2"/>
        <w:numPr>
          <w:ilvl w:val="0"/>
          <w:numId w:val="0"/>
        </w:numPr>
      </w:pPr>
      <w:bookmarkStart w:id="23" w:name="_Toc506468597"/>
      <w:bookmarkStart w:id="24" w:name="_Toc520794381"/>
      <w:r>
        <w:t>2.10</w:t>
      </w:r>
      <w:r>
        <w:tab/>
        <w:t xml:space="preserve">Otros requisitos de </w:t>
      </w:r>
      <w:r w:rsidR="005F3F60">
        <w:t>elegibilidad</w:t>
      </w:r>
      <w:bookmarkEnd w:id="23"/>
      <w:bookmarkEnd w:id="24"/>
    </w:p>
    <w:p w14:paraId="650B8EFC" w14:textId="1138B2A9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derechos, impuestos y cargas (como el IVA) incluidos en el informe financiero no pueden ser recuperados por la entidad </w:t>
      </w:r>
      <w:r w:rsidR="00760861">
        <w:rPr>
          <w:color w:val="000000"/>
        </w:rPr>
        <w:t>verificada,</w:t>
      </w:r>
      <w:r>
        <w:rPr>
          <w:color w:val="000000"/>
        </w:rPr>
        <w:t xml:space="preserve"> a menos que se estipule lo contrario en la</w:t>
      </w:r>
      <w:r w:rsidR="005F3F60">
        <w:rPr>
          <w:color w:val="000000"/>
        </w:rPr>
        <w:t>s condiciones contractuales (</w:t>
      </w:r>
      <w:r>
        <w:rPr>
          <w:color w:val="000000"/>
        </w:rPr>
        <w:t xml:space="preserve">sistema de costes aceptados). En este último caso, estos gastos se </w:t>
      </w:r>
      <w:r w:rsidR="00760861">
        <w:rPr>
          <w:color w:val="000000"/>
        </w:rPr>
        <w:t>reportan</w:t>
      </w:r>
      <w:r>
        <w:rPr>
          <w:color w:val="000000"/>
        </w:rPr>
        <w:t xml:space="preserve"> por separado y se refieren a gastos directos </w:t>
      </w:r>
      <w:r w:rsidR="005F3F60">
        <w:rPr>
          <w:color w:val="000000"/>
        </w:rPr>
        <w:t>elegibles</w:t>
      </w:r>
      <w:r>
        <w:rPr>
          <w:color w:val="000000"/>
        </w:rPr>
        <w:t>.</w:t>
      </w:r>
    </w:p>
    <w:p w14:paraId="07793A95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Se han utilizado, en su caso, los tipos de cambio pertinentes.</w:t>
      </w:r>
    </w:p>
    <w:p w14:paraId="50C92238" w14:textId="2C1B8C4A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La reserva para imprevistos</w:t>
      </w:r>
      <w:r w:rsidR="00760861">
        <w:rPr>
          <w:color w:val="000000"/>
        </w:rPr>
        <w:t>,</w:t>
      </w:r>
      <w:r>
        <w:rPr>
          <w:color w:val="000000"/>
        </w:rPr>
        <w:t xml:space="preserve"> se ha establecido de acuerdo con las condiciones contractuales y su uso ha sido autorizado por el Órgano de Contratación.</w:t>
      </w:r>
    </w:p>
    <w:p w14:paraId="4F32B21B" w14:textId="3859CD2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costes indirectos no sobrepasan el máximo porcentaje contractual de los costes directos </w:t>
      </w:r>
      <w:r w:rsidR="005F3F60">
        <w:rPr>
          <w:color w:val="000000"/>
        </w:rPr>
        <w:t>elegibles</w:t>
      </w:r>
      <w:r>
        <w:rPr>
          <w:color w:val="000000"/>
        </w:rPr>
        <w:t xml:space="preserve"> y no incluyen gastos no </w:t>
      </w:r>
      <w:r w:rsidR="005F3F60">
        <w:rPr>
          <w:color w:val="000000"/>
        </w:rPr>
        <w:t>elegibles</w:t>
      </w:r>
      <w:r>
        <w:rPr>
          <w:color w:val="000000"/>
        </w:rPr>
        <w:t xml:space="preserve"> o gastos ya declarados como gastos directos.</w:t>
      </w:r>
    </w:p>
    <w:p w14:paraId="66E7A7FF" w14:textId="77777777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Las aportaciones en especie no se incluyen en el informe financiero, salvo que se disponga otra cosa en las condiciones contractuales.</w:t>
      </w:r>
    </w:p>
    <w:p w14:paraId="6024DAF2" w14:textId="15D0479C" w:rsidR="00DB6F0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gastos específicamente considerados no </w:t>
      </w:r>
      <w:r w:rsidR="005F3F60">
        <w:rPr>
          <w:color w:val="000000"/>
        </w:rPr>
        <w:t>elegibles</w:t>
      </w:r>
      <w:r>
        <w:rPr>
          <w:color w:val="000000"/>
        </w:rPr>
        <w:t xml:space="preserve"> por las condiciones contractuales no están incluido</w:t>
      </w:r>
      <w:r w:rsidR="009B2951">
        <w:rPr>
          <w:color w:val="000000"/>
        </w:rPr>
        <w:t>s</w:t>
      </w:r>
      <w:r>
        <w:rPr>
          <w:color w:val="000000"/>
        </w:rPr>
        <w:t xml:space="preserve"> en el informe financiero.</w:t>
      </w:r>
    </w:p>
    <w:p w14:paraId="00F052AE" w14:textId="456E5960" w:rsidR="00DB6F0C" w:rsidRPr="00642D53" w:rsidRDefault="00730B2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>Los gastos declarados en relación con las opciones de costes simplificados respeta</w:t>
      </w:r>
      <w:r w:rsidR="009B2951">
        <w:rPr>
          <w:color w:val="000000"/>
        </w:rPr>
        <w:t>n</w:t>
      </w:r>
      <w:r>
        <w:rPr>
          <w:color w:val="000000"/>
        </w:rPr>
        <w:t xml:space="preserve"> los requisitos contractuales.</w:t>
      </w:r>
    </w:p>
    <w:p w14:paraId="1EA08BBE" w14:textId="472AAABA" w:rsidR="00986AAC" w:rsidRPr="00642D53" w:rsidRDefault="00DB6F0C" w:rsidP="00DB6F0C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</w:rPr>
        <w:t xml:space="preserve">Los ingresos generados por la entidad </w:t>
      </w:r>
      <w:r w:rsidR="00375903">
        <w:rPr>
          <w:color w:val="000000"/>
        </w:rPr>
        <w:t>verificada</w:t>
      </w:r>
      <w:r>
        <w:rPr>
          <w:color w:val="000000"/>
        </w:rPr>
        <w:t xml:space="preserve"> en la ejecución del contrato se recogen en el informe financiero y se deducen del gasto declarado, a menos que se estipule lo contrario en las condiciones contractuales.</w:t>
      </w:r>
    </w:p>
    <w:p w14:paraId="60D7A0A4" w14:textId="3BD07238" w:rsidR="00F82148" w:rsidRDefault="007D4316" w:rsidP="007D4316">
      <w:pPr>
        <w:jc w:val="both"/>
        <w:rPr>
          <w:szCs w:val="22"/>
        </w:rPr>
      </w:pPr>
      <w:r>
        <w:rPr>
          <w:highlight w:val="yellow"/>
        </w:rPr>
        <w:t>[</w:t>
      </w:r>
      <w:r w:rsidR="00F82148">
        <w:rPr>
          <w:highlight w:val="yellow"/>
        </w:rPr>
        <w:t xml:space="preserve">Si se requieren controles adicionales, en particular en el caso de que se definan objetivos específicos </w:t>
      </w:r>
      <w:r w:rsidR="005F3F60">
        <w:rPr>
          <w:highlight w:val="yellow"/>
        </w:rPr>
        <w:t>en el artículo 2 del PdC, añada</w:t>
      </w:r>
      <w:r w:rsidR="00F82148">
        <w:rPr>
          <w:highlight w:val="yellow"/>
        </w:rPr>
        <w:t xml:space="preserve"> lo siguiente:</w:t>
      </w:r>
    </w:p>
    <w:p w14:paraId="01EEB11D" w14:textId="6A6B9217" w:rsidR="00F82148" w:rsidRPr="00615B57" w:rsidRDefault="00F82148" w:rsidP="00F82148">
      <w:pPr>
        <w:pStyle w:val="Heading2"/>
        <w:numPr>
          <w:ilvl w:val="0"/>
          <w:numId w:val="0"/>
        </w:numPr>
      </w:pPr>
      <w:bookmarkStart w:id="25" w:name="_Toc520794382"/>
      <w:r>
        <w:rPr>
          <w:highlight w:val="darkGray"/>
        </w:rPr>
        <w:t>2.11</w:t>
      </w:r>
      <w:r w:rsidRPr="00861916">
        <w:rPr>
          <w:highlight w:val="darkGray"/>
        </w:rPr>
        <w:tab/>
      </w:r>
      <w:r>
        <w:rPr>
          <w:highlight w:val="darkGray"/>
        </w:rPr>
        <w:t xml:space="preserve">Requisitos adicionales no incluidos en el procedimiento de </w:t>
      </w:r>
      <w:r w:rsidR="007D4316">
        <w:rPr>
          <w:highlight w:val="darkGray"/>
        </w:rPr>
        <w:tab/>
      </w:r>
      <w:r>
        <w:rPr>
          <w:highlight w:val="darkGray"/>
        </w:rPr>
        <w:t>verificación estándar</w:t>
      </w:r>
      <w:bookmarkEnd w:id="25"/>
    </w:p>
    <w:p w14:paraId="3F141ECF" w14:textId="39D29B23" w:rsidR="00F82148" w:rsidRDefault="00F82148" w:rsidP="00D46DA5">
      <w:pPr>
        <w:rPr>
          <w:szCs w:val="22"/>
        </w:rPr>
      </w:pPr>
      <w:r>
        <w:t>&lt;</w:t>
      </w:r>
      <w:r>
        <w:rPr>
          <w:highlight w:val="yellow"/>
        </w:rPr>
        <w:t>Describa l</w:t>
      </w:r>
      <w:r w:rsidR="00B14929">
        <w:rPr>
          <w:highlight w:val="yellow"/>
        </w:rPr>
        <w:t>os</w:t>
      </w:r>
      <w:r>
        <w:rPr>
          <w:highlight w:val="yellow"/>
        </w:rPr>
        <w:t xml:space="preserve"> control</w:t>
      </w:r>
      <w:r w:rsidR="00B14929">
        <w:rPr>
          <w:highlight w:val="yellow"/>
        </w:rPr>
        <w:t>es</w:t>
      </w:r>
      <w:r>
        <w:rPr>
          <w:highlight w:val="yellow"/>
        </w:rPr>
        <w:t xml:space="preserve"> adiciona</w:t>
      </w:r>
      <w:r w:rsidRPr="00A506D5">
        <w:rPr>
          <w:highlight w:val="yellow"/>
        </w:rPr>
        <w:t>l</w:t>
      </w:r>
      <w:r w:rsidR="00B14929" w:rsidRPr="00A506D5">
        <w:rPr>
          <w:highlight w:val="yellow"/>
        </w:rPr>
        <w:t>es</w:t>
      </w:r>
      <w:r>
        <w:t>&gt;</w:t>
      </w:r>
      <w:r w:rsidR="007D4316">
        <w:t>]</w:t>
      </w:r>
    </w:p>
    <w:p w14:paraId="2341E79F" w14:textId="77777777" w:rsidR="00865845" w:rsidRPr="0035038F" w:rsidRDefault="00865845" w:rsidP="00D46DA5"/>
    <w:sectPr w:rsidR="00865845" w:rsidRPr="0035038F" w:rsidSect="0014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EAFA" w14:textId="77777777" w:rsidR="00F74607" w:rsidRDefault="00F74607">
      <w:r>
        <w:separator/>
      </w:r>
    </w:p>
  </w:endnote>
  <w:endnote w:type="continuationSeparator" w:id="0">
    <w:p w14:paraId="76352E58" w14:textId="77777777" w:rsidR="00F74607" w:rsidRDefault="00F74607">
      <w:r>
        <w:continuationSeparator/>
      </w:r>
    </w:p>
  </w:endnote>
  <w:endnote w:type="continuationNotice" w:id="1">
    <w:p w14:paraId="6AE56500" w14:textId="77777777" w:rsidR="00F74607" w:rsidRDefault="00F74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4021" w14:textId="77777777" w:rsidR="00D7748B" w:rsidRDefault="00D7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D42B" w14:textId="77777777" w:rsidR="00B233CD" w:rsidRPr="007958B3" w:rsidRDefault="00B233CD" w:rsidP="004344C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</w:p>
  <w:p w14:paraId="70CA1D2E" w14:textId="54683285" w:rsidR="00904F0C" w:rsidRPr="004344C4" w:rsidRDefault="004344C4" w:rsidP="00D7748B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</w:rPr>
      <w:t xml:space="preserve">Versión de </w:t>
    </w:r>
    <w:r w:rsidR="00D7748B">
      <w:rPr>
        <w:rFonts w:ascii="Arial" w:hAnsi="Arial"/>
        <w:i/>
        <w:sz w:val="16"/>
      </w:rPr>
      <w:t>0</w:t>
    </w:r>
    <w:r>
      <w:rPr>
        <w:rFonts w:ascii="Arial" w:hAnsi="Arial"/>
        <w:i/>
        <w:sz w:val="16"/>
      </w:rPr>
      <w:t>1.</w:t>
    </w:r>
    <w:r w:rsidR="00D50BD5">
      <w:rPr>
        <w:rFonts w:ascii="Arial" w:hAnsi="Arial"/>
        <w:i/>
        <w:sz w:val="16"/>
      </w:rPr>
      <w:t>08</w:t>
    </w:r>
    <w:r>
      <w:rPr>
        <w:rFonts w:ascii="Arial" w:hAnsi="Arial"/>
        <w:i/>
        <w:sz w:val="16"/>
      </w:rPr>
      <w:t>.2018</w:t>
    </w:r>
    <w:r w:rsidR="00D7748B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 xml:space="preserve"> </w:t>
    </w:r>
    <w:r w:rsidR="00D7748B">
      <w:rPr>
        <w:rFonts w:ascii="Arial" w:hAnsi="Arial"/>
        <w:i/>
        <w:sz w:val="16"/>
      </w:rPr>
      <w:tab/>
    </w:r>
    <w:r w:rsidR="00D7748B"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 xml:space="preserve">Página 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A31B6A">
      <w:rPr>
        <w:rFonts w:ascii="Arial" w:hAnsi="Arial" w:cs="Arial"/>
        <w:i/>
        <w:noProof/>
        <w:sz w:val="16"/>
        <w:szCs w:val="16"/>
      </w:rPr>
      <w:t>1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i/>
        <w:sz w:val="16"/>
      </w:rPr>
      <w:t>/</w:t>
    </w:r>
    <w:r w:rsidR="00904F0C" w:rsidRPr="004344C4">
      <w:rPr>
        <w:rFonts w:ascii="Arial" w:hAnsi="Arial" w:cs="Arial"/>
        <w:i/>
        <w:sz w:val="16"/>
        <w:szCs w:val="16"/>
      </w:rPr>
      <w:fldChar w:fldCharType="begin"/>
    </w:r>
    <w:r w:rsidR="00904F0C" w:rsidRPr="004344C4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904F0C" w:rsidRPr="004344C4">
      <w:rPr>
        <w:rFonts w:ascii="Arial" w:hAnsi="Arial" w:cs="Arial"/>
        <w:i/>
        <w:sz w:val="16"/>
        <w:szCs w:val="16"/>
      </w:rPr>
      <w:fldChar w:fldCharType="separate"/>
    </w:r>
    <w:r w:rsidR="00A31B6A">
      <w:rPr>
        <w:rFonts w:ascii="Arial" w:hAnsi="Arial" w:cs="Arial"/>
        <w:i/>
        <w:noProof/>
        <w:sz w:val="16"/>
        <w:szCs w:val="16"/>
      </w:rPr>
      <w:t>4</w:t>
    </w:r>
    <w:r w:rsidR="00904F0C" w:rsidRPr="004344C4">
      <w:rPr>
        <w:rFonts w:ascii="Arial" w:hAnsi="Arial" w:cs="Arial"/>
        <w:i/>
        <w:sz w:val="16"/>
        <w:szCs w:val="16"/>
      </w:rPr>
      <w:fldChar w:fldCharType="end"/>
    </w:r>
  </w:p>
  <w:p w14:paraId="14CE6A52" w14:textId="77777777" w:rsidR="00B233CD" w:rsidRPr="00CB566F" w:rsidRDefault="00B233CD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A41D" w14:textId="77777777" w:rsidR="00D7748B" w:rsidRDefault="00D7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370C" w14:textId="77777777" w:rsidR="00F74607" w:rsidRDefault="00F74607">
      <w:r>
        <w:separator/>
      </w:r>
    </w:p>
  </w:footnote>
  <w:footnote w:type="continuationSeparator" w:id="0">
    <w:p w14:paraId="27ECE6BB" w14:textId="77777777" w:rsidR="00F74607" w:rsidRDefault="00F74607">
      <w:r>
        <w:continuationSeparator/>
      </w:r>
    </w:p>
  </w:footnote>
  <w:footnote w:type="continuationNotice" w:id="1">
    <w:p w14:paraId="307F2544" w14:textId="77777777" w:rsidR="00F74607" w:rsidRDefault="00F74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EB81" w14:textId="77777777" w:rsidR="00D7748B" w:rsidRDefault="00D77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3BC3" w14:textId="77777777" w:rsidR="00D7748B" w:rsidRDefault="00D7748B" w:rsidP="00B610DD">
    <w:pPr>
      <w:pStyle w:val="Head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PdC para una verificación de gastos</w:t>
    </w:r>
  </w:p>
  <w:p w14:paraId="280EA2C7" w14:textId="262C64FC" w:rsidR="00145C0A" w:rsidRDefault="00D7748B" w:rsidP="00B610DD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</w:rPr>
      <w:t xml:space="preserve"> Anexo 2 – Directrices para el análisis de riesgos y los procedimientos de verificación</w:t>
    </w:r>
  </w:p>
  <w:p w14:paraId="548783CF" w14:textId="77777777" w:rsidR="00145C0A" w:rsidRDefault="00145C0A" w:rsidP="00B610DD">
    <w:pPr>
      <w:pStyle w:val="Header"/>
      <w:jc w:val="right"/>
      <w:rPr>
        <w:rFonts w:ascii="Arial" w:hAnsi="Arial" w:cs="Arial"/>
        <w:i/>
        <w:sz w:val="16"/>
        <w:szCs w:val="16"/>
      </w:rPr>
    </w:pPr>
  </w:p>
  <w:p w14:paraId="6DD87C08" w14:textId="77777777" w:rsidR="00145C0A" w:rsidRDefault="00145C0A" w:rsidP="004344C4">
    <w:pPr>
      <w:pStyle w:val="Header"/>
      <w:rPr>
        <w:rFonts w:ascii="Arial" w:hAnsi="Arial" w:cs="Arial"/>
        <w:i/>
        <w:sz w:val="16"/>
        <w:szCs w:val="16"/>
      </w:rPr>
    </w:pPr>
  </w:p>
  <w:p w14:paraId="15578D50" w14:textId="77777777" w:rsidR="00D50BD5" w:rsidRPr="00B610DD" w:rsidRDefault="00D50BD5" w:rsidP="004344C4">
    <w:pPr>
      <w:pStyle w:val="Head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A0B7" w14:textId="77777777" w:rsidR="00442FA6" w:rsidRPr="00442FA6" w:rsidRDefault="00442FA6" w:rsidP="00442FA6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/>
        <w:i/>
        <w:sz w:val="16"/>
      </w:rPr>
      <w:t>Pliego de Condiciones para una verificación de gastos</w:t>
    </w:r>
  </w:p>
  <w:p w14:paraId="63E99154" w14:textId="77777777" w:rsidR="00B233CD" w:rsidRDefault="00B2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843A8"/>
    <w:multiLevelType w:val="hybridMultilevel"/>
    <w:tmpl w:val="82A096E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331"/>
    <w:multiLevelType w:val="hybridMultilevel"/>
    <w:tmpl w:val="0688D596"/>
    <w:lvl w:ilvl="0" w:tplc="7CEAA4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7587F"/>
    <w:multiLevelType w:val="hybridMultilevel"/>
    <w:tmpl w:val="31B2C422"/>
    <w:lvl w:ilvl="0" w:tplc="8678529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E3728"/>
    <w:multiLevelType w:val="hybridMultilevel"/>
    <w:tmpl w:val="905A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2D7"/>
    <w:multiLevelType w:val="hybridMultilevel"/>
    <w:tmpl w:val="228CCFFC"/>
    <w:lvl w:ilvl="0" w:tplc="19BECCA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72E8"/>
    <w:multiLevelType w:val="hybridMultilevel"/>
    <w:tmpl w:val="0D7A6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86E"/>
    <w:multiLevelType w:val="hybridMultilevel"/>
    <w:tmpl w:val="F45CF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CB1"/>
    <w:multiLevelType w:val="hybridMultilevel"/>
    <w:tmpl w:val="09F2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306"/>
    <w:multiLevelType w:val="multilevel"/>
    <w:tmpl w:val="F014B5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3965DEC"/>
    <w:multiLevelType w:val="hybridMultilevel"/>
    <w:tmpl w:val="D972A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8A4"/>
    <w:multiLevelType w:val="hybridMultilevel"/>
    <w:tmpl w:val="45D2D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CC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00EB"/>
    <w:multiLevelType w:val="hybridMultilevel"/>
    <w:tmpl w:val="0B540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7451E"/>
    <w:multiLevelType w:val="hybridMultilevel"/>
    <w:tmpl w:val="A53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308"/>
    <w:multiLevelType w:val="hybridMultilevel"/>
    <w:tmpl w:val="F49E06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3303"/>
    <w:multiLevelType w:val="hybridMultilevel"/>
    <w:tmpl w:val="5C5CB054"/>
    <w:lvl w:ilvl="0" w:tplc="90DA61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2F72"/>
    <w:multiLevelType w:val="hybridMultilevel"/>
    <w:tmpl w:val="5064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78E3"/>
    <w:multiLevelType w:val="hybridMultilevel"/>
    <w:tmpl w:val="D2D02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905A3"/>
    <w:multiLevelType w:val="hybridMultilevel"/>
    <w:tmpl w:val="DC4041D8"/>
    <w:lvl w:ilvl="0" w:tplc="E588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B4F1A"/>
    <w:multiLevelType w:val="hybridMultilevel"/>
    <w:tmpl w:val="2616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3C9"/>
    <w:multiLevelType w:val="hybridMultilevel"/>
    <w:tmpl w:val="FDA0AD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73F8"/>
    <w:multiLevelType w:val="hybridMultilevel"/>
    <w:tmpl w:val="9B5E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3826"/>
    <w:multiLevelType w:val="hybridMultilevel"/>
    <w:tmpl w:val="B3E88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32656"/>
    <w:multiLevelType w:val="multilevel"/>
    <w:tmpl w:val="1FD0B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843" w:hanging="170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55617BF"/>
    <w:multiLevelType w:val="hybridMultilevel"/>
    <w:tmpl w:val="A8D0CF6C"/>
    <w:lvl w:ilvl="0" w:tplc="9E9AE68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B2109"/>
    <w:multiLevelType w:val="hybridMultilevel"/>
    <w:tmpl w:val="2E082FE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B7912"/>
    <w:multiLevelType w:val="hybridMultilevel"/>
    <w:tmpl w:val="FB5A6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5D71"/>
    <w:multiLevelType w:val="hybridMultilevel"/>
    <w:tmpl w:val="F9804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A345EF"/>
    <w:multiLevelType w:val="hybridMultilevel"/>
    <w:tmpl w:val="90B85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88049A7"/>
    <w:multiLevelType w:val="hybridMultilevel"/>
    <w:tmpl w:val="AF422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6B7D"/>
    <w:multiLevelType w:val="hybridMultilevel"/>
    <w:tmpl w:val="E8884A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A22002"/>
    <w:multiLevelType w:val="hybridMultilevel"/>
    <w:tmpl w:val="4F76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74A0"/>
    <w:multiLevelType w:val="hybridMultilevel"/>
    <w:tmpl w:val="F24CD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556F8"/>
    <w:multiLevelType w:val="hybridMultilevel"/>
    <w:tmpl w:val="2680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E1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5508"/>
    <w:multiLevelType w:val="hybridMultilevel"/>
    <w:tmpl w:val="C4F45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E77F8"/>
    <w:multiLevelType w:val="hybridMultilevel"/>
    <w:tmpl w:val="100E3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0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39"/>
  </w:num>
  <w:num w:numId="12">
    <w:abstractNumId w:val="20"/>
  </w:num>
  <w:num w:numId="13">
    <w:abstractNumId w:val="32"/>
  </w:num>
  <w:num w:numId="14">
    <w:abstractNumId w:val="2"/>
  </w:num>
  <w:num w:numId="15">
    <w:abstractNumId w:val="3"/>
  </w:num>
  <w:num w:numId="16">
    <w:abstractNumId w:val="40"/>
  </w:num>
  <w:num w:numId="17">
    <w:abstractNumId w:val="28"/>
  </w:num>
  <w:num w:numId="18">
    <w:abstractNumId w:val="5"/>
  </w:num>
  <w:num w:numId="19">
    <w:abstractNumId w:val="25"/>
  </w:num>
  <w:num w:numId="20">
    <w:abstractNumId w:val="17"/>
  </w:num>
  <w:num w:numId="21">
    <w:abstractNumId w:val="7"/>
  </w:num>
  <w:num w:numId="22">
    <w:abstractNumId w:val="37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8"/>
  </w:num>
  <w:num w:numId="28">
    <w:abstractNumId w:val="36"/>
  </w:num>
  <w:num w:numId="29">
    <w:abstractNumId w:val="14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6"/>
  </w:num>
  <w:num w:numId="40">
    <w:abstractNumId w:val="9"/>
  </w:num>
  <w:num w:numId="41">
    <w:abstractNumId w:val="9"/>
  </w:num>
  <w:num w:numId="42">
    <w:abstractNumId w:val="9"/>
  </w:num>
  <w:num w:numId="43">
    <w:abstractNumId w:val="18"/>
  </w:num>
  <w:num w:numId="44">
    <w:abstractNumId w:val="35"/>
  </w:num>
  <w:num w:numId="45">
    <w:abstractNumId w:val="31"/>
  </w:num>
  <w:num w:numId="46">
    <w:abstractNumId w:val="24"/>
  </w:num>
  <w:num w:numId="47">
    <w:abstractNumId w:val="15"/>
  </w:num>
  <w:num w:numId="48">
    <w:abstractNumId w:val="27"/>
  </w:num>
  <w:num w:numId="49">
    <w:abstractNumId w:val="21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78EC"/>
    <w:rsid w:val="00001615"/>
    <w:rsid w:val="00002DB2"/>
    <w:rsid w:val="00003C99"/>
    <w:rsid w:val="00003EF7"/>
    <w:rsid w:val="00004F9A"/>
    <w:rsid w:val="000102FE"/>
    <w:rsid w:val="00011814"/>
    <w:rsid w:val="00012378"/>
    <w:rsid w:val="000125D0"/>
    <w:rsid w:val="00012837"/>
    <w:rsid w:val="00017985"/>
    <w:rsid w:val="00020BDE"/>
    <w:rsid w:val="000212A9"/>
    <w:rsid w:val="0002183C"/>
    <w:rsid w:val="000301E2"/>
    <w:rsid w:val="00030C5F"/>
    <w:rsid w:val="000323E7"/>
    <w:rsid w:val="00033574"/>
    <w:rsid w:val="0003416C"/>
    <w:rsid w:val="000359A4"/>
    <w:rsid w:val="00035BC3"/>
    <w:rsid w:val="00036430"/>
    <w:rsid w:val="0004104A"/>
    <w:rsid w:val="00041B1A"/>
    <w:rsid w:val="00042622"/>
    <w:rsid w:val="00043927"/>
    <w:rsid w:val="00043AA1"/>
    <w:rsid w:val="00044490"/>
    <w:rsid w:val="00045DE3"/>
    <w:rsid w:val="000508D9"/>
    <w:rsid w:val="000527BE"/>
    <w:rsid w:val="0005317D"/>
    <w:rsid w:val="0005481B"/>
    <w:rsid w:val="00056FE8"/>
    <w:rsid w:val="00057053"/>
    <w:rsid w:val="00060F9A"/>
    <w:rsid w:val="000621E7"/>
    <w:rsid w:val="00063736"/>
    <w:rsid w:val="00064104"/>
    <w:rsid w:val="00064AFB"/>
    <w:rsid w:val="000666C7"/>
    <w:rsid w:val="00066C5B"/>
    <w:rsid w:val="00067EDC"/>
    <w:rsid w:val="00070D9B"/>
    <w:rsid w:val="000714C6"/>
    <w:rsid w:val="0007260E"/>
    <w:rsid w:val="00072FC7"/>
    <w:rsid w:val="00074386"/>
    <w:rsid w:val="000758D4"/>
    <w:rsid w:val="00075F9A"/>
    <w:rsid w:val="00076155"/>
    <w:rsid w:val="000804F3"/>
    <w:rsid w:val="00084AEC"/>
    <w:rsid w:val="00085037"/>
    <w:rsid w:val="00085549"/>
    <w:rsid w:val="0008574B"/>
    <w:rsid w:val="000861DF"/>
    <w:rsid w:val="00087C96"/>
    <w:rsid w:val="00090618"/>
    <w:rsid w:val="00090BCC"/>
    <w:rsid w:val="00091781"/>
    <w:rsid w:val="00091E66"/>
    <w:rsid w:val="00092521"/>
    <w:rsid w:val="00092A1E"/>
    <w:rsid w:val="00092F5A"/>
    <w:rsid w:val="00093E16"/>
    <w:rsid w:val="000946E9"/>
    <w:rsid w:val="00094B98"/>
    <w:rsid w:val="00095049"/>
    <w:rsid w:val="00096B93"/>
    <w:rsid w:val="000978B2"/>
    <w:rsid w:val="0009795E"/>
    <w:rsid w:val="00097989"/>
    <w:rsid w:val="000A2583"/>
    <w:rsid w:val="000A39DD"/>
    <w:rsid w:val="000A536D"/>
    <w:rsid w:val="000A6604"/>
    <w:rsid w:val="000A68F8"/>
    <w:rsid w:val="000B1C35"/>
    <w:rsid w:val="000B2502"/>
    <w:rsid w:val="000B4236"/>
    <w:rsid w:val="000B455B"/>
    <w:rsid w:val="000B4C57"/>
    <w:rsid w:val="000B579A"/>
    <w:rsid w:val="000B5B79"/>
    <w:rsid w:val="000B6B96"/>
    <w:rsid w:val="000C0B8C"/>
    <w:rsid w:val="000C0F1B"/>
    <w:rsid w:val="000C16A9"/>
    <w:rsid w:val="000C554D"/>
    <w:rsid w:val="000C65FA"/>
    <w:rsid w:val="000C6E21"/>
    <w:rsid w:val="000D146F"/>
    <w:rsid w:val="000D25DD"/>
    <w:rsid w:val="000D26D6"/>
    <w:rsid w:val="000D3175"/>
    <w:rsid w:val="000D34CA"/>
    <w:rsid w:val="000D3BA1"/>
    <w:rsid w:val="000D5255"/>
    <w:rsid w:val="000D6710"/>
    <w:rsid w:val="000D7E6F"/>
    <w:rsid w:val="000E0B95"/>
    <w:rsid w:val="000E0C86"/>
    <w:rsid w:val="000E1314"/>
    <w:rsid w:val="000E2215"/>
    <w:rsid w:val="000E3666"/>
    <w:rsid w:val="000E4A07"/>
    <w:rsid w:val="000E65F2"/>
    <w:rsid w:val="000E6C47"/>
    <w:rsid w:val="000E75C9"/>
    <w:rsid w:val="000E7B88"/>
    <w:rsid w:val="000E7CCD"/>
    <w:rsid w:val="000E7FDF"/>
    <w:rsid w:val="000F33E0"/>
    <w:rsid w:val="000F3E33"/>
    <w:rsid w:val="000F4C44"/>
    <w:rsid w:val="000F546D"/>
    <w:rsid w:val="000F593F"/>
    <w:rsid w:val="000F59B0"/>
    <w:rsid w:val="000F615F"/>
    <w:rsid w:val="000F681F"/>
    <w:rsid w:val="000F6A9E"/>
    <w:rsid w:val="000F6E75"/>
    <w:rsid w:val="00100A5B"/>
    <w:rsid w:val="00100C66"/>
    <w:rsid w:val="00100E5C"/>
    <w:rsid w:val="00101C55"/>
    <w:rsid w:val="00101DD1"/>
    <w:rsid w:val="001028D6"/>
    <w:rsid w:val="001028F1"/>
    <w:rsid w:val="001033D1"/>
    <w:rsid w:val="001046C4"/>
    <w:rsid w:val="00104BAF"/>
    <w:rsid w:val="0010640C"/>
    <w:rsid w:val="0011049B"/>
    <w:rsid w:val="001138A2"/>
    <w:rsid w:val="00114342"/>
    <w:rsid w:val="001145AA"/>
    <w:rsid w:val="00115FC9"/>
    <w:rsid w:val="00116ACF"/>
    <w:rsid w:val="001171FB"/>
    <w:rsid w:val="001173B9"/>
    <w:rsid w:val="00120F9F"/>
    <w:rsid w:val="00121B4F"/>
    <w:rsid w:val="0013174D"/>
    <w:rsid w:val="00131C3B"/>
    <w:rsid w:val="0013312E"/>
    <w:rsid w:val="00134788"/>
    <w:rsid w:val="00134C36"/>
    <w:rsid w:val="00134CBB"/>
    <w:rsid w:val="00135245"/>
    <w:rsid w:val="00135EBB"/>
    <w:rsid w:val="0013696D"/>
    <w:rsid w:val="00136C3A"/>
    <w:rsid w:val="00136C3F"/>
    <w:rsid w:val="00136CCD"/>
    <w:rsid w:val="001425A1"/>
    <w:rsid w:val="00142ACA"/>
    <w:rsid w:val="001446CD"/>
    <w:rsid w:val="00145670"/>
    <w:rsid w:val="001458A3"/>
    <w:rsid w:val="00145C0A"/>
    <w:rsid w:val="00145C26"/>
    <w:rsid w:val="001464DB"/>
    <w:rsid w:val="00146676"/>
    <w:rsid w:val="00146989"/>
    <w:rsid w:val="00147A01"/>
    <w:rsid w:val="00147D6D"/>
    <w:rsid w:val="0015056C"/>
    <w:rsid w:val="00150785"/>
    <w:rsid w:val="00150918"/>
    <w:rsid w:val="001509DF"/>
    <w:rsid w:val="0015241A"/>
    <w:rsid w:val="0015332D"/>
    <w:rsid w:val="00153B72"/>
    <w:rsid w:val="00154D67"/>
    <w:rsid w:val="001560B5"/>
    <w:rsid w:val="00157650"/>
    <w:rsid w:val="00157E6C"/>
    <w:rsid w:val="001614FC"/>
    <w:rsid w:val="001626FB"/>
    <w:rsid w:val="001656BE"/>
    <w:rsid w:val="00166201"/>
    <w:rsid w:val="00167581"/>
    <w:rsid w:val="00167B7D"/>
    <w:rsid w:val="00170261"/>
    <w:rsid w:val="00170534"/>
    <w:rsid w:val="00171FC5"/>
    <w:rsid w:val="00171FDF"/>
    <w:rsid w:val="00172EDE"/>
    <w:rsid w:val="00173075"/>
    <w:rsid w:val="001738A2"/>
    <w:rsid w:val="001748E0"/>
    <w:rsid w:val="00175D48"/>
    <w:rsid w:val="001778A8"/>
    <w:rsid w:val="00177EE9"/>
    <w:rsid w:val="0018114E"/>
    <w:rsid w:val="001815AD"/>
    <w:rsid w:val="00181A77"/>
    <w:rsid w:val="0018520E"/>
    <w:rsid w:val="001859DF"/>
    <w:rsid w:val="00186C86"/>
    <w:rsid w:val="001872A8"/>
    <w:rsid w:val="001908AF"/>
    <w:rsid w:val="00190C36"/>
    <w:rsid w:val="001923C1"/>
    <w:rsid w:val="00192637"/>
    <w:rsid w:val="00192FC0"/>
    <w:rsid w:val="00194FCB"/>
    <w:rsid w:val="00195118"/>
    <w:rsid w:val="00195457"/>
    <w:rsid w:val="00196261"/>
    <w:rsid w:val="001967ED"/>
    <w:rsid w:val="001A0CBC"/>
    <w:rsid w:val="001A0F81"/>
    <w:rsid w:val="001A28D7"/>
    <w:rsid w:val="001A30D5"/>
    <w:rsid w:val="001A42B9"/>
    <w:rsid w:val="001A435A"/>
    <w:rsid w:val="001A51D2"/>
    <w:rsid w:val="001A5B02"/>
    <w:rsid w:val="001A7047"/>
    <w:rsid w:val="001A715E"/>
    <w:rsid w:val="001B1442"/>
    <w:rsid w:val="001B2596"/>
    <w:rsid w:val="001B2A5B"/>
    <w:rsid w:val="001B547C"/>
    <w:rsid w:val="001B66CF"/>
    <w:rsid w:val="001B73D4"/>
    <w:rsid w:val="001B7759"/>
    <w:rsid w:val="001B7783"/>
    <w:rsid w:val="001B7E13"/>
    <w:rsid w:val="001C076D"/>
    <w:rsid w:val="001C0797"/>
    <w:rsid w:val="001C1B51"/>
    <w:rsid w:val="001C3A77"/>
    <w:rsid w:val="001C3B78"/>
    <w:rsid w:val="001C4804"/>
    <w:rsid w:val="001C59CB"/>
    <w:rsid w:val="001D0EE2"/>
    <w:rsid w:val="001D11C6"/>
    <w:rsid w:val="001D1263"/>
    <w:rsid w:val="001D3538"/>
    <w:rsid w:val="001D606E"/>
    <w:rsid w:val="001D763B"/>
    <w:rsid w:val="001D7679"/>
    <w:rsid w:val="001E0A7B"/>
    <w:rsid w:val="001E0F18"/>
    <w:rsid w:val="001E0F45"/>
    <w:rsid w:val="001E115E"/>
    <w:rsid w:val="001E3AA0"/>
    <w:rsid w:val="001E3CF3"/>
    <w:rsid w:val="001E4C75"/>
    <w:rsid w:val="001E55D5"/>
    <w:rsid w:val="001E6E7A"/>
    <w:rsid w:val="001E6F0C"/>
    <w:rsid w:val="001E7598"/>
    <w:rsid w:val="001F01D9"/>
    <w:rsid w:val="001F10F3"/>
    <w:rsid w:val="001F338E"/>
    <w:rsid w:val="001F4712"/>
    <w:rsid w:val="001F492D"/>
    <w:rsid w:val="002007B8"/>
    <w:rsid w:val="00202739"/>
    <w:rsid w:val="0020287E"/>
    <w:rsid w:val="00202CCA"/>
    <w:rsid w:val="00202DDD"/>
    <w:rsid w:val="00203826"/>
    <w:rsid w:val="00204AD9"/>
    <w:rsid w:val="00204FA8"/>
    <w:rsid w:val="002052C9"/>
    <w:rsid w:val="00205906"/>
    <w:rsid w:val="00206ABB"/>
    <w:rsid w:val="00206C05"/>
    <w:rsid w:val="0021071D"/>
    <w:rsid w:val="002132AA"/>
    <w:rsid w:val="00213DF6"/>
    <w:rsid w:val="002150FF"/>
    <w:rsid w:val="00216165"/>
    <w:rsid w:val="00217B54"/>
    <w:rsid w:val="00217E7A"/>
    <w:rsid w:val="00220010"/>
    <w:rsid w:val="002207A6"/>
    <w:rsid w:val="00220A2D"/>
    <w:rsid w:val="002221D6"/>
    <w:rsid w:val="00222D21"/>
    <w:rsid w:val="00223D31"/>
    <w:rsid w:val="002257DA"/>
    <w:rsid w:val="0022711E"/>
    <w:rsid w:val="00232140"/>
    <w:rsid w:val="00232E0B"/>
    <w:rsid w:val="00234B2E"/>
    <w:rsid w:val="00235B5B"/>
    <w:rsid w:val="00236050"/>
    <w:rsid w:val="00236143"/>
    <w:rsid w:val="0023664B"/>
    <w:rsid w:val="002400DB"/>
    <w:rsid w:val="002408B4"/>
    <w:rsid w:val="00240E27"/>
    <w:rsid w:val="00241282"/>
    <w:rsid w:val="002419E5"/>
    <w:rsid w:val="002434E7"/>
    <w:rsid w:val="002453E9"/>
    <w:rsid w:val="002453F0"/>
    <w:rsid w:val="00245718"/>
    <w:rsid w:val="00245C49"/>
    <w:rsid w:val="00246223"/>
    <w:rsid w:val="00246C26"/>
    <w:rsid w:val="00247710"/>
    <w:rsid w:val="00251029"/>
    <w:rsid w:val="002511A1"/>
    <w:rsid w:val="00251881"/>
    <w:rsid w:val="00252D5D"/>
    <w:rsid w:val="00253C9E"/>
    <w:rsid w:val="00253CEC"/>
    <w:rsid w:val="00254E24"/>
    <w:rsid w:val="00257BB9"/>
    <w:rsid w:val="00257E3A"/>
    <w:rsid w:val="00261234"/>
    <w:rsid w:val="00263531"/>
    <w:rsid w:val="002637DE"/>
    <w:rsid w:val="00266C52"/>
    <w:rsid w:val="00266F98"/>
    <w:rsid w:val="002671E2"/>
    <w:rsid w:val="00267FF8"/>
    <w:rsid w:val="002719D6"/>
    <w:rsid w:val="00271BC6"/>
    <w:rsid w:val="00273128"/>
    <w:rsid w:val="00273598"/>
    <w:rsid w:val="00275158"/>
    <w:rsid w:val="002761EB"/>
    <w:rsid w:val="00276998"/>
    <w:rsid w:val="002827B8"/>
    <w:rsid w:val="00282845"/>
    <w:rsid w:val="00284342"/>
    <w:rsid w:val="0028574C"/>
    <w:rsid w:val="00285E32"/>
    <w:rsid w:val="00286E48"/>
    <w:rsid w:val="00287BF6"/>
    <w:rsid w:val="00290740"/>
    <w:rsid w:val="00291122"/>
    <w:rsid w:val="002918F5"/>
    <w:rsid w:val="00291C94"/>
    <w:rsid w:val="00291FC6"/>
    <w:rsid w:val="00292544"/>
    <w:rsid w:val="00293066"/>
    <w:rsid w:val="0029340B"/>
    <w:rsid w:val="00293FEF"/>
    <w:rsid w:val="00294E83"/>
    <w:rsid w:val="00295062"/>
    <w:rsid w:val="00295B18"/>
    <w:rsid w:val="0029697E"/>
    <w:rsid w:val="0029721C"/>
    <w:rsid w:val="002A02A8"/>
    <w:rsid w:val="002A0C43"/>
    <w:rsid w:val="002A1A32"/>
    <w:rsid w:val="002A320F"/>
    <w:rsid w:val="002A435B"/>
    <w:rsid w:val="002A546A"/>
    <w:rsid w:val="002A5F6F"/>
    <w:rsid w:val="002A61C0"/>
    <w:rsid w:val="002A6EAB"/>
    <w:rsid w:val="002A781B"/>
    <w:rsid w:val="002A7A39"/>
    <w:rsid w:val="002A7E53"/>
    <w:rsid w:val="002B0170"/>
    <w:rsid w:val="002B0254"/>
    <w:rsid w:val="002B1321"/>
    <w:rsid w:val="002B1B0A"/>
    <w:rsid w:val="002B1C7C"/>
    <w:rsid w:val="002B5A29"/>
    <w:rsid w:val="002B72E4"/>
    <w:rsid w:val="002B7C45"/>
    <w:rsid w:val="002C04D7"/>
    <w:rsid w:val="002C0EA3"/>
    <w:rsid w:val="002C1319"/>
    <w:rsid w:val="002C2AA6"/>
    <w:rsid w:val="002C2CCC"/>
    <w:rsid w:val="002C3301"/>
    <w:rsid w:val="002C4454"/>
    <w:rsid w:val="002C56D5"/>
    <w:rsid w:val="002C6484"/>
    <w:rsid w:val="002C7108"/>
    <w:rsid w:val="002C7BFA"/>
    <w:rsid w:val="002C7FD6"/>
    <w:rsid w:val="002D141D"/>
    <w:rsid w:val="002D167F"/>
    <w:rsid w:val="002D1F9C"/>
    <w:rsid w:val="002D3452"/>
    <w:rsid w:val="002D35D3"/>
    <w:rsid w:val="002D36B5"/>
    <w:rsid w:val="002D3F87"/>
    <w:rsid w:val="002D43BC"/>
    <w:rsid w:val="002D7888"/>
    <w:rsid w:val="002D7DBE"/>
    <w:rsid w:val="002E232D"/>
    <w:rsid w:val="002E4F86"/>
    <w:rsid w:val="002E5AE2"/>
    <w:rsid w:val="002E5BD7"/>
    <w:rsid w:val="002F3220"/>
    <w:rsid w:val="002F3532"/>
    <w:rsid w:val="002F45AC"/>
    <w:rsid w:val="002F46A9"/>
    <w:rsid w:val="002F5277"/>
    <w:rsid w:val="002F59F6"/>
    <w:rsid w:val="002F5C8F"/>
    <w:rsid w:val="002F7469"/>
    <w:rsid w:val="00302F24"/>
    <w:rsid w:val="003036A0"/>
    <w:rsid w:val="00304815"/>
    <w:rsid w:val="00310FF5"/>
    <w:rsid w:val="003139F5"/>
    <w:rsid w:val="00313C38"/>
    <w:rsid w:val="00314F3D"/>
    <w:rsid w:val="00314F6F"/>
    <w:rsid w:val="0031671D"/>
    <w:rsid w:val="003176FC"/>
    <w:rsid w:val="00320194"/>
    <w:rsid w:val="0032163A"/>
    <w:rsid w:val="0032167F"/>
    <w:rsid w:val="0032512B"/>
    <w:rsid w:val="00327B3F"/>
    <w:rsid w:val="00327D42"/>
    <w:rsid w:val="00327FBC"/>
    <w:rsid w:val="00330E15"/>
    <w:rsid w:val="0033391A"/>
    <w:rsid w:val="003340A8"/>
    <w:rsid w:val="00334D23"/>
    <w:rsid w:val="00335597"/>
    <w:rsid w:val="00337097"/>
    <w:rsid w:val="00337694"/>
    <w:rsid w:val="003376C7"/>
    <w:rsid w:val="00341075"/>
    <w:rsid w:val="00341EC9"/>
    <w:rsid w:val="00342559"/>
    <w:rsid w:val="003427C0"/>
    <w:rsid w:val="00342837"/>
    <w:rsid w:val="0034429D"/>
    <w:rsid w:val="00344969"/>
    <w:rsid w:val="00344A10"/>
    <w:rsid w:val="00345F3C"/>
    <w:rsid w:val="0034773C"/>
    <w:rsid w:val="00347CA7"/>
    <w:rsid w:val="0035038F"/>
    <w:rsid w:val="003523C8"/>
    <w:rsid w:val="003526B3"/>
    <w:rsid w:val="003526FB"/>
    <w:rsid w:val="00352B89"/>
    <w:rsid w:val="003534B6"/>
    <w:rsid w:val="003555E7"/>
    <w:rsid w:val="00355AB8"/>
    <w:rsid w:val="00355DB0"/>
    <w:rsid w:val="00362FA8"/>
    <w:rsid w:val="0036387F"/>
    <w:rsid w:val="0036440F"/>
    <w:rsid w:val="00365707"/>
    <w:rsid w:val="00371D27"/>
    <w:rsid w:val="003732F9"/>
    <w:rsid w:val="00375903"/>
    <w:rsid w:val="00375DA9"/>
    <w:rsid w:val="00376E09"/>
    <w:rsid w:val="003800EC"/>
    <w:rsid w:val="00380287"/>
    <w:rsid w:val="00380816"/>
    <w:rsid w:val="003814B4"/>
    <w:rsid w:val="00382F8F"/>
    <w:rsid w:val="00383002"/>
    <w:rsid w:val="00383E96"/>
    <w:rsid w:val="003865EC"/>
    <w:rsid w:val="00386A83"/>
    <w:rsid w:val="003874CB"/>
    <w:rsid w:val="00391A62"/>
    <w:rsid w:val="00391B25"/>
    <w:rsid w:val="00391B99"/>
    <w:rsid w:val="003929A8"/>
    <w:rsid w:val="00392ACF"/>
    <w:rsid w:val="00394C86"/>
    <w:rsid w:val="003A1810"/>
    <w:rsid w:val="003A1CEB"/>
    <w:rsid w:val="003A31A0"/>
    <w:rsid w:val="003A36CD"/>
    <w:rsid w:val="003A3845"/>
    <w:rsid w:val="003A43F0"/>
    <w:rsid w:val="003A5A7D"/>
    <w:rsid w:val="003A654D"/>
    <w:rsid w:val="003A700C"/>
    <w:rsid w:val="003A7797"/>
    <w:rsid w:val="003B0259"/>
    <w:rsid w:val="003B44F8"/>
    <w:rsid w:val="003B64EA"/>
    <w:rsid w:val="003B6DD3"/>
    <w:rsid w:val="003B73B9"/>
    <w:rsid w:val="003C059D"/>
    <w:rsid w:val="003C0834"/>
    <w:rsid w:val="003C2486"/>
    <w:rsid w:val="003D0A25"/>
    <w:rsid w:val="003D2D82"/>
    <w:rsid w:val="003D3091"/>
    <w:rsid w:val="003D494A"/>
    <w:rsid w:val="003D5306"/>
    <w:rsid w:val="003D55C7"/>
    <w:rsid w:val="003D561B"/>
    <w:rsid w:val="003D6C65"/>
    <w:rsid w:val="003D7F13"/>
    <w:rsid w:val="003E0182"/>
    <w:rsid w:val="003E39B2"/>
    <w:rsid w:val="003E3E01"/>
    <w:rsid w:val="003E60C5"/>
    <w:rsid w:val="003E6C50"/>
    <w:rsid w:val="003E79F2"/>
    <w:rsid w:val="003E7ED3"/>
    <w:rsid w:val="003F1752"/>
    <w:rsid w:val="003F2BAD"/>
    <w:rsid w:val="003F4010"/>
    <w:rsid w:val="003F4932"/>
    <w:rsid w:val="003F53FE"/>
    <w:rsid w:val="003F5C51"/>
    <w:rsid w:val="003F7BD0"/>
    <w:rsid w:val="0040114F"/>
    <w:rsid w:val="004017FF"/>
    <w:rsid w:val="0040217D"/>
    <w:rsid w:val="00402E96"/>
    <w:rsid w:val="004036F7"/>
    <w:rsid w:val="004055C3"/>
    <w:rsid w:val="00406E94"/>
    <w:rsid w:val="00410229"/>
    <w:rsid w:val="00410718"/>
    <w:rsid w:val="004108BA"/>
    <w:rsid w:val="00410B15"/>
    <w:rsid w:val="004116C2"/>
    <w:rsid w:val="0041173E"/>
    <w:rsid w:val="004148D3"/>
    <w:rsid w:val="00414DD0"/>
    <w:rsid w:val="004151D4"/>
    <w:rsid w:val="00415F4D"/>
    <w:rsid w:val="004173C2"/>
    <w:rsid w:val="004215F3"/>
    <w:rsid w:val="00422795"/>
    <w:rsid w:val="00423554"/>
    <w:rsid w:val="004242DE"/>
    <w:rsid w:val="00425384"/>
    <w:rsid w:val="004266B9"/>
    <w:rsid w:val="00426E7C"/>
    <w:rsid w:val="00427D84"/>
    <w:rsid w:val="00433D13"/>
    <w:rsid w:val="0043431C"/>
    <w:rsid w:val="004344C4"/>
    <w:rsid w:val="00435584"/>
    <w:rsid w:val="00435744"/>
    <w:rsid w:val="00441628"/>
    <w:rsid w:val="00442245"/>
    <w:rsid w:val="00442345"/>
    <w:rsid w:val="00442823"/>
    <w:rsid w:val="004429F7"/>
    <w:rsid w:val="00442AD2"/>
    <w:rsid w:val="00442D70"/>
    <w:rsid w:val="00442F05"/>
    <w:rsid w:val="00442FA6"/>
    <w:rsid w:val="00444535"/>
    <w:rsid w:val="00444A66"/>
    <w:rsid w:val="004453F7"/>
    <w:rsid w:val="0044548C"/>
    <w:rsid w:val="004456C5"/>
    <w:rsid w:val="00446310"/>
    <w:rsid w:val="004508E4"/>
    <w:rsid w:val="00451928"/>
    <w:rsid w:val="00453859"/>
    <w:rsid w:val="00455522"/>
    <w:rsid w:val="00457541"/>
    <w:rsid w:val="0045757B"/>
    <w:rsid w:val="0046040E"/>
    <w:rsid w:val="00460B87"/>
    <w:rsid w:val="0046142C"/>
    <w:rsid w:val="004623AE"/>
    <w:rsid w:val="00463A8A"/>
    <w:rsid w:val="00465D40"/>
    <w:rsid w:val="00466A53"/>
    <w:rsid w:val="00470B2D"/>
    <w:rsid w:val="00471816"/>
    <w:rsid w:val="00471A20"/>
    <w:rsid w:val="00472B6C"/>
    <w:rsid w:val="004732E0"/>
    <w:rsid w:val="0047443C"/>
    <w:rsid w:val="0047722D"/>
    <w:rsid w:val="00477EC0"/>
    <w:rsid w:val="004803B0"/>
    <w:rsid w:val="004839DE"/>
    <w:rsid w:val="0048485A"/>
    <w:rsid w:val="00484C8F"/>
    <w:rsid w:val="00486A20"/>
    <w:rsid w:val="004873EB"/>
    <w:rsid w:val="004906C6"/>
    <w:rsid w:val="00491979"/>
    <w:rsid w:val="00491C93"/>
    <w:rsid w:val="004924FA"/>
    <w:rsid w:val="0049277C"/>
    <w:rsid w:val="00493AF9"/>
    <w:rsid w:val="004948D9"/>
    <w:rsid w:val="00496859"/>
    <w:rsid w:val="0049699D"/>
    <w:rsid w:val="00497C9B"/>
    <w:rsid w:val="004A0482"/>
    <w:rsid w:val="004A0907"/>
    <w:rsid w:val="004A0C20"/>
    <w:rsid w:val="004A1ADB"/>
    <w:rsid w:val="004A22C0"/>
    <w:rsid w:val="004A349A"/>
    <w:rsid w:val="004A34B2"/>
    <w:rsid w:val="004A3DB5"/>
    <w:rsid w:val="004A4528"/>
    <w:rsid w:val="004A4EBE"/>
    <w:rsid w:val="004A5279"/>
    <w:rsid w:val="004A5FAD"/>
    <w:rsid w:val="004A679B"/>
    <w:rsid w:val="004A7F7C"/>
    <w:rsid w:val="004B0EE8"/>
    <w:rsid w:val="004B21E6"/>
    <w:rsid w:val="004B44BB"/>
    <w:rsid w:val="004B4E16"/>
    <w:rsid w:val="004C05E2"/>
    <w:rsid w:val="004C0A92"/>
    <w:rsid w:val="004C0F83"/>
    <w:rsid w:val="004C1F2D"/>
    <w:rsid w:val="004C1F98"/>
    <w:rsid w:val="004C26A6"/>
    <w:rsid w:val="004C2B82"/>
    <w:rsid w:val="004C44A2"/>
    <w:rsid w:val="004C477D"/>
    <w:rsid w:val="004C479D"/>
    <w:rsid w:val="004C48F2"/>
    <w:rsid w:val="004C61A8"/>
    <w:rsid w:val="004C6C45"/>
    <w:rsid w:val="004C7351"/>
    <w:rsid w:val="004D1FEB"/>
    <w:rsid w:val="004D2565"/>
    <w:rsid w:val="004D4E32"/>
    <w:rsid w:val="004D510A"/>
    <w:rsid w:val="004D5CDC"/>
    <w:rsid w:val="004D6F80"/>
    <w:rsid w:val="004D7B15"/>
    <w:rsid w:val="004E0BD1"/>
    <w:rsid w:val="004E0D3A"/>
    <w:rsid w:val="004E140C"/>
    <w:rsid w:val="004E4BA1"/>
    <w:rsid w:val="004E5003"/>
    <w:rsid w:val="004E62BB"/>
    <w:rsid w:val="004E6E04"/>
    <w:rsid w:val="004E6FA6"/>
    <w:rsid w:val="004F02A0"/>
    <w:rsid w:val="004F0BDB"/>
    <w:rsid w:val="004F190C"/>
    <w:rsid w:val="004F1B0A"/>
    <w:rsid w:val="004F1CFF"/>
    <w:rsid w:val="004F7BA1"/>
    <w:rsid w:val="00500177"/>
    <w:rsid w:val="005023C6"/>
    <w:rsid w:val="005025E7"/>
    <w:rsid w:val="005032DB"/>
    <w:rsid w:val="00503C5E"/>
    <w:rsid w:val="00504B14"/>
    <w:rsid w:val="00507534"/>
    <w:rsid w:val="00510908"/>
    <w:rsid w:val="005111A6"/>
    <w:rsid w:val="00511BB0"/>
    <w:rsid w:val="005121EE"/>
    <w:rsid w:val="0051253A"/>
    <w:rsid w:val="00513CC6"/>
    <w:rsid w:val="00513F9F"/>
    <w:rsid w:val="00514971"/>
    <w:rsid w:val="00514D73"/>
    <w:rsid w:val="00514E47"/>
    <w:rsid w:val="00517790"/>
    <w:rsid w:val="005235A4"/>
    <w:rsid w:val="00524AE5"/>
    <w:rsid w:val="005254BA"/>
    <w:rsid w:val="00525BD4"/>
    <w:rsid w:val="005265CA"/>
    <w:rsid w:val="005276FD"/>
    <w:rsid w:val="00527723"/>
    <w:rsid w:val="00527849"/>
    <w:rsid w:val="005279B0"/>
    <w:rsid w:val="00527BD2"/>
    <w:rsid w:val="00533306"/>
    <w:rsid w:val="005343EB"/>
    <w:rsid w:val="0053455B"/>
    <w:rsid w:val="005349E9"/>
    <w:rsid w:val="00534B8D"/>
    <w:rsid w:val="00534D7A"/>
    <w:rsid w:val="00540D2B"/>
    <w:rsid w:val="005422B3"/>
    <w:rsid w:val="00543A8D"/>
    <w:rsid w:val="00543F9C"/>
    <w:rsid w:val="005447C3"/>
    <w:rsid w:val="00545176"/>
    <w:rsid w:val="00545BB6"/>
    <w:rsid w:val="00545F91"/>
    <w:rsid w:val="00546D8B"/>
    <w:rsid w:val="005477CD"/>
    <w:rsid w:val="0055123B"/>
    <w:rsid w:val="00551341"/>
    <w:rsid w:val="00552960"/>
    <w:rsid w:val="00554C48"/>
    <w:rsid w:val="00560FD4"/>
    <w:rsid w:val="005622A5"/>
    <w:rsid w:val="005675E3"/>
    <w:rsid w:val="0057176D"/>
    <w:rsid w:val="00572EB3"/>
    <w:rsid w:val="005746AE"/>
    <w:rsid w:val="005750FC"/>
    <w:rsid w:val="00576552"/>
    <w:rsid w:val="00582AB3"/>
    <w:rsid w:val="005856B0"/>
    <w:rsid w:val="0058620C"/>
    <w:rsid w:val="00586658"/>
    <w:rsid w:val="00590420"/>
    <w:rsid w:val="00590999"/>
    <w:rsid w:val="00592756"/>
    <w:rsid w:val="0059432C"/>
    <w:rsid w:val="005950FE"/>
    <w:rsid w:val="00595398"/>
    <w:rsid w:val="005953C0"/>
    <w:rsid w:val="00595D9C"/>
    <w:rsid w:val="005961AF"/>
    <w:rsid w:val="005977BC"/>
    <w:rsid w:val="005A00D4"/>
    <w:rsid w:val="005A0D88"/>
    <w:rsid w:val="005A1194"/>
    <w:rsid w:val="005A2E6B"/>
    <w:rsid w:val="005A64D6"/>
    <w:rsid w:val="005A75B5"/>
    <w:rsid w:val="005B085A"/>
    <w:rsid w:val="005B0DF8"/>
    <w:rsid w:val="005B1D20"/>
    <w:rsid w:val="005B2268"/>
    <w:rsid w:val="005B354F"/>
    <w:rsid w:val="005B3CEE"/>
    <w:rsid w:val="005B43E7"/>
    <w:rsid w:val="005B505F"/>
    <w:rsid w:val="005B66C8"/>
    <w:rsid w:val="005C0A6F"/>
    <w:rsid w:val="005C0CC6"/>
    <w:rsid w:val="005C4E1B"/>
    <w:rsid w:val="005C53B0"/>
    <w:rsid w:val="005C56FB"/>
    <w:rsid w:val="005C5DAD"/>
    <w:rsid w:val="005D02BC"/>
    <w:rsid w:val="005D1F56"/>
    <w:rsid w:val="005D2056"/>
    <w:rsid w:val="005D20B8"/>
    <w:rsid w:val="005D4848"/>
    <w:rsid w:val="005D499A"/>
    <w:rsid w:val="005D656C"/>
    <w:rsid w:val="005D74A4"/>
    <w:rsid w:val="005D7DB9"/>
    <w:rsid w:val="005E114D"/>
    <w:rsid w:val="005E1E02"/>
    <w:rsid w:val="005E26C5"/>
    <w:rsid w:val="005E2CC0"/>
    <w:rsid w:val="005E64A9"/>
    <w:rsid w:val="005E64C8"/>
    <w:rsid w:val="005E68FA"/>
    <w:rsid w:val="005F1E35"/>
    <w:rsid w:val="005F2DA2"/>
    <w:rsid w:val="005F37D9"/>
    <w:rsid w:val="005F3F60"/>
    <w:rsid w:val="005F5026"/>
    <w:rsid w:val="005F5AF6"/>
    <w:rsid w:val="005F6D80"/>
    <w:rsid w:val="005F6F95"/>
    <w:rsid w:val="005F754B"/>
    <w:rsid w:val="005F75A3"/>
    <w:rsid w:val="00601ADA"/>
    <w:rsid w:val="00601DBC"/>
    <w:rsid w:val="006028DA"/>
    <w:rsid w:val="006029E1"/>
    <w:rsid w:val="00602B81"/>
    <w:rsid w:val="006041F8"/>
    <w:rsid w:val="0060433B"/>
    <w:rsid w:val="0060595E"/>
    <w:rsid w:val="00606833"/>
    <w:rsid w:val="00606C16"/>
    <w:rsid w:val="0061208B"/>
    <w:rsid w:val="0061258B"/>
    <w:rsid w:val="0061375F"/>
    <w:rsid w:val="00614A90"/>
    <w:rsid w:val="00614CB0"/>
    <w:rsid w:val="00615B57"/>
    <w:rsid w:val="00615D8A"/>
    <w:rsid w:val="0061634E"/>
    <w:rsid w:val="00620201"/>
    <w:rsid w:val="0062290B"/>
    <w:rsid w:val="00623380"/>
    <w:rsid w:val="006244C7"/>
    <w:rsid w:val="00624D98"/>
    <w:rsid w:val="00626D94"/>
    <w:rsid w:val="0063066C"/>
    <w:rsid w:val="00632671"/>
    <w:rsid w:val="00632853"/>
    <w:rsid w:val="00632EF6"/>
    <w:rsid w:val="00633BB8"/>
    <w:rsid w:val="00633E69"/>
    <w:rsid w:val="00634323"/>
    <w:rsid w:val="0063481E"/>
    <w:rsid w:val="00634C8D"/>
    <w:rsid w:val="0063600C"/>
    <w:rsid w:val="00641237"/>
    <w:rsid w:val="006412EB"/>
    <w:rsid w:val="00641727"/>
    <w:rsid w:val="00641F4C"/>
    <w:rsid w:val="006424DC"/>
    <w:rsid w:val="00642D53"/>
    <w:rsid w:val="00644817"/>
    <w:rsid w:val="00644B6B"/>
    <w:rsid w:val="006475BE"/>
    <w:rsid w:val="006512CA"/>
    <w:rsid w:val="006527EC"/>
    <w:rsid w:val="00653F64"/>
    <w:rsid w:val="006540AD"/>
    <w:rsid w:val="00655DF6"/>
    <w:rsid w:val="006570D2"/>
    <w:rsid w:val="006601B0"/>
    <w:rsid w:val="00660C4F"/>
    <w:rsid w:val="00661F3C"/>
    <w:rsid w:val="006628BA"/>
    <w:rsid w:val="00663A17"/>
    <w:rsid w:val="006646F8"/>
    <w:rsid w:val="006648B6"/>
    <w:rsid w:val="00667528"/>
    <w:rsid w:val="006722A7"/>
    <w:rsid w:val="00672CDD"/>
    <w:rsid w:val="00674FCD"/>
    <w:rsid w:val="00676215"/>
    <w:rsid w:val="006768C0"/>
    <w:rsid w:val="00676F53"/>
    <w:rsid w:val="00680485"/>
    <w:rsid w:val="00680B6F"/>
    <w:rsid w:val="00680C3D"/>
    <w:rsid w:val="006823A4"/>
    <w:rsid w:val="00682419"/>
    <w:rsid w:val="0068280C"/>
    <w:rsid w:val="006828D1"/>
    <w:rsid w:val="0068668A"/>
    <w:rsid w:val="006867E5"/>
    <w:rsid w:val="006870F5"/>
    <w:rsid w:val="00687167"/>
    <w:rsid w:val="006876D4"/>
    <w:rsid w:val="0069064B"/>
    <w:rsid w:val="00691377"/>
    <w:rsid w:val="00691403"/>
    <w:rsid w:val="00691CE5"/>
    <w:rsid w:val="00693DBB"/>
    <w:rsid w:val="0069483C"/>
    <w:rsid w:val="00695DF1"/>
    <w:rsid w:val="006967D8"/>
    <w:rsid w:val="0069773D"/>
    <w:rsid w:val="006A0531"/>
    <w:rsid w:val="006A29A4"/>
    <w:rsid w:val="006A309E"/>
    <w:rsid w:val="006A3346"/>
    <w:rsid w:val="006A384C"/>
    <w:rsid w:val="006A426A"/>
    <w:rsid w:val="006A47B7"/>
    <w:rsid w:val="006A6E74"/>
    <w:rsid w:val="006A6EB7"/>
    <w:rsid w:val="006B1B22"/>
    <w:rsid w:val="006B469A"/>
    <w:rsid w:val="006B5C6B"/>
    <w:rsid w:val="006B78B9"/>
    <w:rsid w:val="006B7FE6"/>
    <w:rsid w:val="006B7FFA"/>
    <w:rsid w:val="006C03CC"/>
    <w:rsid w:val="006C0870"/>
    <w:rsid w:val="006C0D28"/>
    <w:rsid w:val="006C4849"/>
    <w:rsid w:val="006C4A69"/>
    <w:rsid w:val="006C797C"/>
    <w:rsid w:val="006C7C47"/>
    <w:rsid w:val="006D0DFF"/>
    <w:rsid w:val="006D14F1"/>
    <w:rsid w:val="006D3A9F"/>
    <w:rsid w:val="006D7F1D"/>
    <w:rsid w:val="006D7FB9"/>
    <w:rsid w:val="006E6B6A"/>
    <w:rsid w:val="006E70AF"/>
    <w:rsid w:val="006E786E"/>
    <w:rsid w:val="006F04D9"/>
    <w:rsid w:val="006F1260"/>
    <w:rsid w:val="006F1861"/>
    <w:rsid w:val="006F295E"/>
    <w:rsid w:val="006F370E"/>
    <w:rsid w:val="006F4657"/>
    <w:rsid w:val="006F51FC"/>
    <w:rsid w:val="006F64F3"/>
    <w:rsid w:val="006F673C"/>
    <w:rsid w:val="006F7929"/>
    <w:rsid w:val="006F7F40"/>
    <w:rsid w:val="0070137A"/>
    <w:rsid w:val="0070137D"/>
    <w:rsid w:val="0070210F"/>
    <w:rsid w:val="00702DD7"/>
    <w:rsid w:val="007034C4"/>
    <w:rsid w:val="0070381F"/>
    <w:rsid w:val="00704CB8"/>
    <w:rsid w:val="0070529F"/>
    <w:rsid w:val="00706F4A"/>
    <w:rsid w:val="0070743F"/>
    <w:rsid w:val="00710A4A"/>
    <w:rsid w:val="007125D0"/>
    <w:rsid w:val="007157B5"/>
    <w:rsid w:val="0072058E"/>
    <w:rsid w:val="007216D5"/>
    <w:rsid w:val="0072270D"/>
    <w:rsid w:val="0072573F"/>
    <w:rsid w:val="007263DD"/>
    <w:rsid w:val="0072668A"/>
    <w:rsid w:val="0072668D"/>
    <w:rsid w:val="00726CEB"/>
    <w:rsid w:val="00730B2C"/>
    <w:rsid w:val="00730E41"/>
    <w:rsid w:val="00731C9F"/>
    <w:rsid w:val="00731E1B"/>
    <w:rsid w:val="007321E1"/>
    <w:rsid w:val="0073412A"/>
    <w:rsid w:val="0073744E"/>
    <w:rsid w:val="00737CDD"/>
    <w:rsid w:val="007400C9"/>
    <w:rsid w:val="007408D1"/>
    <w:rsid w:val="0074169E"/>
    <w:rsid w:val="00741711"/>
    <w:rsid w:val="00741B3E"/>
    <w:rsid w:val="00741B59"/>
    <w:rsid w:val="00742952"/>
    <w:rsid w:val="00743834"/>
    <w:rsid w:val="00743AED"/>
    <w:rsid w:val="00747A17"/>
    <w:rsid w:val="00751287"/>
    <w:rsid w:val="00751B6A"/>
    <w:rsid w:val="007521B4"/>
    <w:rsid w:val="00752443"/>
    <w:rsid w:val="007528B6"/>
    <w:rsid w:val="00752EC1"/>
    <w:rsid w:val="0075300C"/>
    <w:rsid w:val="00753C0B"/>
    <w:rsid w:val="00754522"/>
    <w:rsid w:val="00757EAA"/>
    <w:rsid w:val="0076030A"/>
    <w:rsid w:val="00760861"/>
    <w:rsid w:val="00760B62"/>
    <w:rsid w:val="00762BED"/>
    <w:rsid w:val="00770943"/>
    <w:rsid w:val="00772C27"/>
    <w:rsid w:val="00773BBC"/>
    <w:rsid w:val="00773BD3"/>
    <w:rsid w:val="00774C91"/>
    <w:rsid w:val="00774F77"/>
    <w:rsid w:val="0077545A"/>
    <w:rsid w:val="0077546A"/>
    <w:rsid w:val="00776D31"/>
    <w:rsid w:val="00780622"/>
    <w:rsid w:val="007806AB"/>
    <w:rsid w:val="00783872"/>
    <w:rsid w:val="00784AD8"/>
    <w:rsid w:val="00785A33"/>
    <w:rsid w:val="00785B38"/>
    <w:rsid w:val="00787E06"/>
    <w:rsid w:val="00791D56"/>
    <w:rsid w:val="00792B71"/>
    <w:rsid w:val="00792D18"/>
    <w:rsid w:val="007940A4"/>
    <w:rsid w:val="00794151"/>
    <w:rsid w:val="00795270"/>
    <w:rsid w:val="007958B3"/>
    <w:rsid w:val="00796154"/>
    <w:rsid w:val="0079635F"/>
    <w:rsid w:val="00797DED"/>
    <w:rsid w:val="007A09E7"/>
    <w:rsid w:val="007A108A"/>
    <w:rsid w:val="007A117B"/>
    <w:rsid w:val="007A23A8"/>
    <w:rsid w:val="007A2457"/>
    <w:rsid w:val="007A2501"/>
    <w:rsid w:val="007A2C6C"/>
    <w:rsid w:val="007A3129"/>
    <w:rsid w:val="007A5EF1"/>
    <w:rsid w:val="007A65CB"/>
    <w:rsid w:val="007A7825"/>
    <w:rsid w:val="007A7AE5"/>
    <w:rsid w:val="007B1190"/>
    <w:rsid w:val="007B199E"/>
    <w:rsid w:val="007B1E5E"/>
    <w:rsid w:val="007B1F67"/>
    <w:rsid w:val="007B218A"/>
    <w:rsid w:val="007B4092"/>
    <w:rsid w:val="007B45AC"/>
    <w:rsid w:val="007B4870"/>
    <w:rsid w:val="007B50AC"/>
    <w:rsid w:val="007B55A9"/>
    <w:rsid w:val="007B5F95"/>
    <w:rsid w:val="007B70FF"/>
    <w:rsid w:val="007B754C"/>
    <w:rsid w:val="007B7A31"/>
    <w:rsid w:val="007C04B1"/>
    <w:rsid w:val="007C0A45"/>
    <w:rsid w:val="007C20A6"/>
    <w:rsid w:val="007C3F1E"/>
    <w:rsid w:val="007C49FD"/>
    <w:rsid w:val="007C692B"/>
    <w:rsid w:val="007C6AAB"/>
    <w:rsid w:val="007D1482"/>
    <w:rsid w:val="007D269D"/>
    <w:rsid w:val="007D3825"/>
    <w:rsid w:val="007D4316"/>
    <w:rsid w:val="007D4614"/>
    <w:rsid w:val="007D4E3D"/>
    <w:rsid w:val="007D512F"/>
    <w:rsid w:val="007D51E5"/>
    <w:rsid w:val="007D6C37"/>
    <w:rsid w:val="007D6CF5"/>
    <w:rsid w:val="007D716F"/>
    <w:rsid w:val="007E2F66"/>
    <w:rsid w:val="007E5953"/>
    <w:rsid w:val="007E74A5"/>
    <w:rsid w:val="007E74DF"/>
    <w:rsid w:val="007E7B85"/>
    <w:rsid w:val="007F08FE"/>
    <w:rsid w:val="007F131C"/>
    <w:rsid w:val="007F17C4"/>
    <w:rsid w:val="007F2779"/>
    <w:rsid w:val="007F3075"/>
    <w:rsid w:val="007F3A0E"/>
    <w:rsid w:val="007F639C"/>
    <w:rsid w:val="007F6792"/>
    <w:rsid w:val="00800355"/>
    <w:rsid w:val="00800D34"/>
    <w:rsid w:val="00801593"/>
    <w:rsid w:val="008031F8"/>
    <w:rsid w:val="00803604"/>
    <w:rsid w:val="00806426"/>
    <w:rsid w:val="0080701D"/>
    <w:rsid w:val="0080743B"/>
    <w:rsid w:val="008078EC"/>
    <w:rsid w:val="00810F77"/>
    <w:rsid w:val="00811DA2"/>
    <w:rsid w:val="00812E01"/>
    <w:rsid w:val="00813CCB"/>
    <w:rsid w:val="00813F69"/>
    <w:rsid w:val="0081426B"/>
    <w:rsid w:val="0081499B"/>
    <w:rsid w:val="00817130"/>
    <w:rsid w:val="00817E77"/>
    <w:rsid w:val="00820618"/>
    <w:rsid w:val="00820D42"/>
    <w:rsid w:val="00821588"/>
    <w:rsid w:val="008217FE"/>
    <w:rsid w:val="00823138"/>
    <w:rsid w:val="0082453C"/>
    <w:rsid w:val="00824927"/>
    <w:rsid w:val="0082567E"/>
    <w:rsid w:val="008259D2"/>
    <w:rsid w:val="00825C05"/>
    <w:rsid w:val="008264C7"/>
    <w:rsid w:val="00831A98"/>
    <w:rsid w:val="00833120"/>
    <w:rsid w:val="008341E2"/>
    <w:rsid w:val="0083648D"/>
    <w:rsid w:val="008369A0"/>
    <w:rsid w:val="00837E00"/>
    <w:rsid w:val="00840DEE"/>
    <w:rsid w:val="00841EF9"/>
    <w:rsid w:val="0084298F"/>
    <w:rsid w:val="00842F17"/>
    <w:rsid w:val="008449FE"/>
    <w:rsid w:val="00844B36"/>
    <w:rsid w:val="008465BC"/>
    <w:rsid w:val="00846698"/>
    <w:rsid w:val="00846724"/>
    <w:rsid w:val="00846799"/>
    <w:rsid w:val="00846A90"/>
    <w:rsid w:val="00847981"/>
    <w:rsid w:val="00847A74"/>
    <w:rsid w:val="00850A62"/>
    <w:rsid w:val="00850EA2"/>
    <w:rsid w:val="008523A1"/>
    <w:rsid w:val="00852626"/>
    <w:rsid w:val="00852A7F"/>
    <w:rsid w:val="00853E96"/>
    <w:rsid w:val="00857B03"/>
    <w:rsid w:val="00860C12"/>
    <w:rsid w:val="00861165"/>
    <w:rsid w:val="00861916"/>
    <w:rsid w:val="00865845"/>
    <w:rsid w:val="00867940"/>
    <w:rsid w:val="00870337"/>
    <w:rsid w:val="008710FC"/>
    <w:rsid w:val="0087128F"/>
    <w:rsid w:val="00871ABA"/>
    <w:rsid w:val="0087291A"/>
    <w:rsid w:val="00872FD4"/>
    <w:rsid w:val="00873681"/>
    <w:rsid w:val="008736BC"/>
    <w:rsid w:val="008739B1"/>
    <w:rsid w:val="00874597"/>
    <w:rsid w:val="00874F3A"/>
    <w:rsid w:val="00875EBA"/>
    <w:rsid w:val="0087635D"/>
    <w:rsid w:val="008775BE"/>
    <w:rsid w:val="00877F1B"/>
    <w:rsid w:val="008800B4"/>
    <w:rsid w:val="00880455"/>
    <w:rsid w:val="00881067"/>
    <w:rsid w:val="0088208A"/>
    <w:rsid w:val="00882626"/>
    <w:rsid w:val="00883214"/>
    <w:rsid w:val="008850AC"/>
    <w:rsid w:val="008867EA"/>
    <w:rsid w:val="0088681E"/>
    <w:rsid w:val="008870CE"/>
    <w:rsid w:val="00891152"/>
    <w:rsid w:val="00893467"/>
    <w:rsid w:val="008938DB"/>
    <w:rsid w:val="00894431"/>
    <w:rsid w:val="0089520A"/>
    <w:rsid w:val="008952A0"/>
    <w:rsid w:val="00896247"/>
    <w:rsid w:val="00897953"/>
    <w:rsid w:val="008A0704"/>
    <w:rsid w:val="008A093F"/>
    <w:rsid w:val="008A0AAF"/>
    <w:rsid w:val="008A1241"/>
    <w:rsid w:val="008A1DC6"/>
    <w:rsid w:val="008A1E99"/>
    <w:rsid w:val="008A294F"/>
    <w:rsid w:val="008A4140"/>
    <w:rsid w:val="008A5136"/>
    <w:rsid w:val="008A52EE"/>
    <w:rsid w:val="008A54C8"/>
    <w:rsid w:val="008A6AD5"/>
    <w:rsid w:val="008A6BBC"/>
    <w:rsid w:val="008A746F"/>
    <w:rsid w:val="008B1CFB"/>
    <w:rsid w:val="008B2592"/>
    <w:rsid w:val="008B263C"/>
    <w:rsid w:val="008B3F04"/>
    <w:rsid w:val="008B47BF"/>
    <w:rsid w:val="008B4875"/>
    <w:rsid w:val="008B4EA4"/>
    <w:rsid w:val="008B5160"/>
    <w:rsid w:val="008C0095"/>
    <w:rsid w:val="008C0D14"/>
    <w:rsid w:val="008C16AD"/>
    <w:rsid w:val="008C1D7E"/>
    <w:rsid w:val="008C22F3"/>
    <w:rsid w:val="008C3A50"/>
    <w:rsid w:val="008C3E4D"/>
    <w:rsid w:val="008C60BB"/>
    <w:rsid w:val="008D0582"/>
    <w:rsid w:val="008D0C9E"/>
    <w:rsid w:val="008D0F0A"/>
    <w:rsid w:val="008D0FDD"/>
    <w:rsid w:val="008D222F"/>
    <w:rsid w:val="008D2D81"/>
    <w:rsid w:val="008D3688"/>
    <w:rsid w:val="008D58B9"/>
    <w:rsid w:val="008D5DEF"/>
    <w:rsid w:val="008D6AE4"/>
    <w:rsid w:val="008D6B90"/>
    <w:rsid w:val="008D72A9"/>
    <w:rsid w:val="008E0564"/>
    <w:rsid w:val="008E0DEA"/>
    <w:rsid w:val="008E0FEC"/>
    <w:rsid w:val="008E1677"/>
    <w:rsid w:val="008E1F3F"/>
    <w:rsid w:val="008E262C"/>
    <w:rsid w:val="008E42B2"/>
    <w:rsid w:val="008E6916"/>
    <w:rsid w:val="008E79DD"/>
    <w:rsid w:val="008E7DA2"/>
    <w:rsid w:val="008F05D2"/>
    <w:rsid w:val="008F0950"/>
    <w:rsid w:val="008F18FF"/>
    <w:rsid w:val="008F1D6E"/>
    <w:rsid w:val="008F1DA2"/>
    <w:rsid w:val="008F26A5"/>
    <w:rsid w:val="008F3426"/>
    <w:rsid w:val="008F3607"/>
    <w:rsid w:val="008F4328"/>
    <w:rsid w:val="008F4429"/>
    <w:rsid w:val="008F48A0"/>
    <w:rsid w:val="008F4B82"/>
    <w:rsid w:val="008F54C2"/>
    <w:rsid w:val="008F57FE"/>
    <w:rsid w:val="008F7261"/>
    <w:rsid w:val="008F7711"/>
    <w:rsid w:val="0090041D"/>
    <w:rsid w:val="00901D4D"/>
    <w:rsid w:val="0090288B"/>
    <w:rsid w:val="00902FF1"/>
    <w:rsid w:val="00903270"/>
    <w:rsid w:val="00903355"/>
    <w:rsid w:val="00903A50"/>
    <w:rsid w:val="00904ECB"/>
    <w:rsid w:val="00904F0C"/>
    <w:rsid w:val="00905B25"/>
    <w:rsid w:val="00906A61"/>
    <w:rsid w:val="00907C28"/>
    <w:rsid w:val="00907C67"/>
    <w:rsid w:val="00907F47"/>
    <w:rsid w:val="00910465"/>
    <w:rsid w:val="009109D0"/>
    <w:rsid w:val="00912136"/>
    <w:rsid w:val="0091262F"/>
    <w:rsid w:val="00913058"/>
    <w:rsid w:val="00913799"/>
    <w:rsid w:val="00914A9D"/>
    <w:rsid w:val="00914AFC"/>
    <w:rsid w:val="009150D3"/>
    <w:rsid w:val="00915141"/>
    <w:rsid w:val="00917314"/>
    <w:rsid w:val="009177B7"/>
    <w:rsid w:val="00922F72"/>
    <w:rsid w:val="009260AF"/>
    <w:rsid w:val="00927438"/>
    <w:rsid w:val="00927494"/>
    <w:rsid w:val="00930638"/>
    <w:rsid w:val="00932224"/>
    <w:rsid w:val="009358F2"/>
    <w:rsid w:val="009363B1"/>
    <w:rsid w:val="0094184E"/>
    <w:rsid w:val="00942455"/>
    <w:rsid w:val="00942DB7"/>
    <w:rsid w:val="009430D7"/>
    <w:rsid w:val="00943254"/>
    <w:rsid w:val="0094384E"/>
    <w:rsid w:val="00944ADA"/>
    <w:rsid w:val="009450E9"/>
    <w:rsid w:val="0094590C"/>
    <w:rsid w:val="00946257"/>
    <w:rsid w:val="009462BB"/>
    <w:rsid w:val="0095030C"/>
    <w:rsid w:val="009509BA"/>
    <w:rsid w:val="00954D46"/>
    <w:rsid w:val="00956259"/>
    <w:rsid w:val="00960B95"/>
    <w:rsid w:val="00964A8E"/>
    <w:rsid w:val="009658EB"/>
    <w:rsid w:val="009663FD"/>
    <w:rsid w:val="0096663C"/>
    <w:rsid w:val="009676A6"/>
    <w:rsid w:val="009676E2"/>
    <w:rsid w:val="00967A84"/>
    <w:rsid w:val="00967D07"/>
    <w:rsid w:val="00971506"/>
    <w:rsid w:val="00972233"/>
    <w:rsid w:val="009758F1"/>
    <w:rsid w:val="00975E98"/>
    <w:rsid w:val="0097735A"/>
    <w:rsid w:val="009802A2"/>
    <w:rsid w:val="00980B80"/>
    <w:rsid w:val="00980CDB"/>
    <w:rsid w:val="00981813"/>
    <w:rsid w:val="009820F9"/>
    <w:rsid w:val="009824F4"/>
    <w:rsid w:val="00983824"/>
    <w:rsid w:val="00985657"/>
    <w:rsid w:val="00986AAC"/>
    <w:rsid w:val="0098726C"/>
    <w:rsid w:val="00990733"/>
    <w:rsid w:val="00990C3C"/>
    <w:rsid w:val="009915F1"/>
    <w:rsid w:val="00992351"/>
    <w:rsid w:val="00992AAF"/>
    <w:rsid w:val="00992BD3"/>
    <w:rsid w:val="009935BD"/>
    <w:rsid w:val="00993A4C"/>
    <w:rsid w:val="00993AF2"/>
    <w:rsid w:val="00993BAA"/>
    <w:rsid w:val="00994EB0"/>
    <w:rsid w:val="0099642A"/>
    <w:rsid w:val="0099727F"/>
    <w:rsid w:val="00997CE2"/>
    <w:rsid w:val="009A0745"/>
    <w:rsid w:val="009A0B0F"/>
    <w:rsid w:val="009A0D87"/>
    <w:rsid w:val="009A120D"/>
    <w:rsid w:val="009A1AA2"/>
    <w:rsid w:val="009A1B26"/>
    <w:rsid w:val="009A1EF0"/>
    <w:rsid w:val="009A20CE"/>
    <w:rsid w:val="009A4B2E"/>
    <w:rsid w:val="009A5EC7"/>
    <w:rsid w:val="009B190B"/>
    <w:rsid w:val="009B2951"/>
    <w:rsid w:val="009B30D5"/>
    <w:rsid w:val="009B43BD"/>
    <w:rsid w:val="009B58DE"/>
    <w:rsid w:val="009B59BF"/>
    <w:rsid w:val="009B6299"/>
    <w:rsid w:val="009B748C"/>
    <w:rsid w:val="009C00C0"/>
    <w:rsid w:val="009C0519"/>
    <w:rsid w:val="009C0D91"/>
    <w:rsid w:val="009C1EB5"/>
    <w:rsid w:val="009C3422"/>
    <w:rsid w:val="009C3F2C"/>
    <w:rsid w:val="009C4215"/>
    <w:rsid w:val="009C67DC"/>
    <w:rsid w:val="009C795D"/>
    <w:rsid w:val="009D0196"/>
    <w:rsid w:val="009D01CD"/>
    <w:rsid w:val="009D1299"/>
    <w:rsid w:val="009D3ABC"/>
    <w:rsid w:val="009D59A7"/>
    <w:rsid w:val="009D6279"/>
    <w:rsid w:val="009E070B"/>
    <w:rsid w:val="009E1340"/>
    <w:rsid w:val="009E1F26"/>
    <w:rsid w:val="009E395C"/>
    <w:rsid w:val="009E5104"/>
    <w:rsid w:val="009E5577"/>
    <w:rsid w:val="009E59DB"/>
    <w:rsid w:val="009E5DC7"/>
    <w:rsid w:val="009F14C8"/>
    <w:rsid w:val="009F1C26"/>
    <w:rsid w:val="009F2525"/>
    <w:rsid w:val="009F41B6"/>
    <w:rsid w:val="009F5165"/>
    <w:rsid w:val="009F56FD"/>
    <w:rsid w:val="009F5AE2"/>
    <w:rsid w:val="009F7A3F"/>
    <w:rsid w:val="009F7F1F"/>
    <w:rsid w:val="00A00727"/>
    <w:rsid w:val="00A024F8"/>
    <w:rsid w:val="00A038B4"/>
    <w:rsid w:val="00A05E34"/>
    <w:rsid w:val="00A062F9"/>
    <w:rsid w:val="00A104AC"/>
    <w:rsid w:val="00A10525"/>
    <w:rsid w:val="00A1088A"/>
    <w:rsid w:val="00A1124D"/>
    <w:rsid w:val="00A1125A"/>
    <w:rsid w:val="00A11427"/>
    <w:rsid w:val="00A12D41"/>
    <w:rsid w:val="00A14C2E"/>
    <w:rsid w:val="00A14E1D"/>
    <w:rsid w:val="00A15334"/>
    <w:rsid w:val="00A1538B"/>
    <w:rsid w:val="00A15FB0"/>
    <w:rsid w:val="00A20107"/>
    <w:rsid w:val="00A2222E"/>
    <w:rsid w:val="00A22F7F"/>
    <w:rsid w:val="00A23034"/>
    <w:rsid w:val="00A236C2"/>
    <w:rsid w:val="00A23FB9"/>
    <w:rsid w:val="00A2402A"/>
    <w:rsid w:val="00A249F2"/>
    <w:rsid w:val="00A24D92"/>
    <w:rsid w:val="00A3070A"/>
    <w:rsid w:val="00A3135A"/>
    <w:rsid w:val="00A31B6A"/>
    <w:rsid w:val="00A32B0F"/>
    <w:rsid w:val="00A32ED4"/>
    <w:rsid w:val="00A335EC"/>
    <w:rsid w:val="00A33A4A"/>
    <w:rsid w:val="00A347F5"/>
    <w:rsid w:val="00A35E0E"/>
    <w:rsid w:val="00A35EBD"/>
    <w:rsid w:val="00A367F2"/>
    <w:rsid w:val="00A36FF8"/>
    <w:rsid w:val="00A377E9"/>
    <w:rsid w:val="00A409CE"/>
    <w:rsid w:val="00A40B52"/>
    <w:rsid w:val="00A415C8"/>
    <w:rsid w:val="00A41651"/>
    <w:rsid w:val="00A4465C"/>
    <w:rsid w:val="00A447E0"/>
    <w:rsid w:val="00A45E83"/>
    <w:rsid w:val="00A46B57"/>
    <w:rsid w:val="00A506D5"/>
    <w:rsid w:val="00A51EE9"/>
    <w:rsid w:val="00A52B25"/>
    <w:rsid w:val="00A539ED"/>
    <w:rsid w:val="00A55739"/>
    <w:rsid w:val="00A558DE"/>
    <w:rsid w:val="00A60686"/>
    <w:rsid w:val="00A61202"/>
    <w:rsid w:val="00A62B80"/>
    <w:rsid w:val="00A63657"/>
    <w:rsid w:val="00A63EC2"/>
    <w:rsid w:val="00A642C3"/>
    <w:rsid w:val="00A64839"/>
    <w:rsid w:val="00A64B2A"/>
    <w:rsid w:val="00A67E28"/>
    <w:rsid w:val="00A7021B"/>
    <w:rsid w:val="00A7152E"/>
    <w:rsid w:val="00A72877"/>
    <w:rsid w:val="00A73163"/>
    <w:rsid w:val="00A75125"/>
    <w:rsid w:val="00A7729B"/>
    <w:rsid w:val="00A81524"/>
    <w:rsid w:val="00A8170E"/>
    <w:rsid w:val="00A83DE9"/>
    <w:rsid w:val="00A849E5"/>
    <w:rsid w:val="00A85159"/>
    <w:rsid w:val="00A861CC"/>
    <w:rsid w:val="00A86997"/>
    <w:rsid w:val="00A86FD1"/>
    <w:rsid w:val="00A90016"/>
    <w:rsid w:val="00A901BB"/>
    <w:rsid w:val="00A90B9E"/>
    <w:rsid w:val="00A91658"/>
    <w:rsid w:val="00A919CE"/>
    <w:rsid w:val="00A922F4"/>
    <w:rsid w:val="00A934B9"/>
    <w:rsid w:val="00A94CF5"/>
    <w:rsid w:val="00A957C8"/>
    <w:rsid w:val="00A963B2"/>
    <w:rsid w:val="00A9775F"/>
    <w:rsid w:val="00AA0073"/>
    <w:rsid w:val="00AA0A54"/>
    <w:rsid w:val="00AA1D02"/>
    <w:rsid w:val="00AA2564"/>
    <w:rsid w:val="00AA457F"/>
    <w:rsid w:val="00AA57B2"/>
    <w:rsid w:val="00AA762E"/>
    <w:rsid w:val="00AA76EF"/>
    <w:rsid w:val="00AB1CCA"/>
    <w:rsid w:val="00AB59E4"/>
    <w:rsid w:val="00AB6DF4"/>
    <w:rsid w:val="00AB6F9B"/>
    <w:rsid w:val="00AB7259"/>
    <w:rsid w:val="00AC01FE"/>
    <w:rsid w:val="00AC03E1"/>
    <w:rsid w:val="00AC04CD"/>
    <w:rsid w:val="00AC1A6C"/>
    <w:rsid w:val="00AC22ED"/>
    <w:rsid w:val="00AC3374"/>
    <w:rsid w:val="00AC540B"/>
    <w:rsid w:val="00AC6D02"/>
    <w:rsid w:val="00AC6FF4"/>
    <w:rsid w:val="00AC76AC"/>
    <w:rsid w:val="00AD0560"/>
    <w:rsid w:val="00AD0662"/>
    <w:rsid w:val="00AD1CAD"/>
    <w:rsid w:val="00AD212F"/>
    <w:rsid w:val="00AD2433"/>
    <w:rsid w:val="00AD32C5"/>
    <w:rsid w:val="00AD4334"/>
    <w:rsid w:val="00AD6866"/>
    <w:rsid w:val="00AD766D"/>
    <w:rsid w:val="00AD7C15"/>
    <w:rsid w:val="00AE02E6"/>
    <w:rsid w:val="00AE0793"/>
    <w:rsid w:val="00AE391B"/>
    <w:rsid w:val="00AE3F39"/>
    <w:rsid w:val="00AE4CEE"/>
    <w:rsid w:val="00AE5BF0"/>
    <w:rsid w:val="00AE5DD6"/>
    <w:rsid w:val="00AE65A3"/>
    <w:rsid w:val="00AE7454"/>
    <w:rsid w:val="00AF08B7"/>
    <w:rsid w:val="00AF2ACF"/>
    <w:rsid w:val="00AF2BF6"/>
    <w:rsid w:val="00AF476D"/>
    <w:rsid w:val="00AF62D5"/>
    <w:rsid w:val="00AF6594"/>
    <w:rsid w:val="00B02537"/>
    <w:rsid w:val="00B046D6"/>
    <w:rsid w:val="00B05A19"/>
    <w:rsid w:val="00B06B9A"/>
    <w:rsid w:val="00B10562"/>
    <w:rsid w:val="00B10652"/>
    <w:rsid w:val="00B122AC"/>
    <w:rsid w:val="00B12850"/>
    <w:rsid w:val="00B13249"/>
    <w:rsid w:val="00B135C1"/>
    <w:rsid w:val="00B140F9"/>
    <w:rsid w:val="00B14929"/>
    <w:rsid w:val="00B14982"/>
    <w:rsid w:val="00B1533E"/>
    <w:rsid w:val="00B172BF"/>
    <w:rsid w:val="00B17B85"/>
    <w:rsid w:val="00B17D65"/>
    <w:rsid w:val="00B2120D"/>
    <w:rsid w:val="00B22E46"/>
    <w:rsid w:val="00B230E2"/>
    <w:rsid w:val="00B233CC"/>
    <w:rsid w:val="00B233CD"/>
    <w:rsid w:val="00B23689"/>
    <w:rsid w:val="00B24994"/>
    <w:rsid w:val="00B24A5A"/>
    <w:rsid w:val="00B24AB8"/>
    <w:rsid w:val="00B24D0B"/>
    <w:rsid w:val="00B26F00"/>
    <w:rsid w:val="00B27C59"/>
    <w:rsid w:val="00B30904"/>
    <w:rsid w:val="00B30F78"/>
    <w:rsid w:val="00B318FB"/>
    <w:rsid w:val="00B319ED"/>
    <w:rsid w:val="00B31B89"/>
    <w:rsid w:val="00B31C9C"/>
    <w:rsid w:val="00B32169"/>
    <w:rsid w:val="00B32573"/>
    <w:rsid w:val="00B33B2D"/>
    <w:rsid w:val="00B33CC5"/>
    <w:rsid w:val="00B35237"/>
    <w:rsid w:val="00B37C3D"/>
    <w:rsid w:val="00B4120D"/>
    <w:rsid w:val="00B41E01"/>
    <w:rsid w:val="00B4226D"/>
    <w:rsid w:val="00B43505"/>
    <w:rsid w:val="00B4437C"/>
    <w:rsid w:val="00B44ECA"/>
    <w:rsid w:val="00B4687C"/>
    <w:rsid w:val="00B51CEB"/>
    <w:rsid w:val="00B52051"/>
    <w:rsid w:val="00B52A8B"/>
    <w:rsid w:val="00B53137"/>
    <w:rsid w:val="00B537C5"/>
    <w:rsid w:val="00B53B77"/>
    <w:rsid w:val="00B54B33"/>
    <w:rsid w:val="00B553E5"/>
    <w:rsid w:val="00B5597F"/>
    <w:rsid w:val="00B55BA6"/>
    <w:rsid w:val="00B55F3E"/>
    <w:rsid w:val="00B56F81"/>
    <w:rsid w:val="00B57043"/>
    <w:rsid w:val="00B57181"/>
    <w:rsid w:val="00B57D70"/>
    <w:rsid w:val="00B610DD"/>
    <w:rsid w:val="00B61900"/>
    <w:rsid w:val="00B6211E"/>
    <w:rsid w:val="00B62151"/>
    <w:rsid w:val="00B62826"/>
    <w:rsid w:val="00B62D5D"/>
    <w:rsid w:val="00B62EA3"/>
    <w:rsid w:val="00B63377"/>
    <w:rsid w:val="00B63737"/>
    <w:rsid w:val="00B63850"/>
    <w:rsid w:val="00B64BDC"/>
    <w:rsid w:val="00B64FAD"/>
    <w:rsid w:val="00B6523D"/>
    <w:rsid w:val="00B67F6E"/>
    <w:rsid w:val="00B70002"/>
    <w:rsid w:val="00B7119E"/>
    <w:rsid w:val="00B71210"/>
    <w:rsid w:val="00B722DB"/>
    <w:rsid w:val="00B729CE"/>
    <w:rsid w:val="00B75634"/>
    <w:rsid w:val="00B77E85"/>
    <w:rsid w:val="00B826A6"/>
    <w:rsid w:val="00B83BB3"/>
    <w:rsid w:val="00B84942"/>
    <w:rsid w:val="00B85793"/>
    <w:rsid w:val="00B85EFF"/>
    <w:rsid w:val="00B91F3F"/>
    <w:rsid w:val="00B92F39"/>
    <w:rsid w:val="00B93784"/>
    <w:rsid w:val="00B94585"/>
    <w:rsid w:val="00B9480D"/>
    <w:rsid w:val="00B964C4"/>
    <w:rsid w:val="00BA0466"/>
    <w:rsid w:val="00BA17C3"/>
    <w:rsid w:val="00BA290D"/>
    <w:rsid w:val="00BA5F4F"/>
    <w:rsid w:val="00BA78FD"/>
    <w:rsid w:val="00BB0BCD"/>
    <w:rsid w:val="00BB10AD"/>
    <w:rsid w:val="00BB22C4"/>
    <w:rsid w:val="00BB3039"/>
    <w:rsid w:val="00BB3FBF"/>
    <w:rsid w:val="00BB5857"/>
    <w:rsid w:val="00BB5ECA"/>
    <w:rsid w:val="00BB6B7E"/>
    <w:rsid w:val="00BB793C"/>
    <w:rsid w:val="00BC01F6"/>
    <w:rsid w:val="00BC046C"/>
    <w:rsid w:val="00BC10F1"/>
    <w:rsid w:val="00BC1969"/>
    <w:rsid w:val="00BC3EDD"/>
    <w:rsid w:val="00BC4610"/>
    <w:rsid w:val="00BC4C57"/>
    <w:rsid w:val="00BC57CE"/>
    <w:rsid w:val="00BC6154"/>
    <w:rsid w:val="00BC755E"/>
    <w:rsid w:val="00BC79DD"/>
    <w:rsid w:val="00BD0463"/>
    <w:rsid w:val="00BD1427"/>
    <w:rsid w:val="00BD27CE"/>
    <w:rsid w:val="00BD3BC4"/>
    <w:rsid w:val="00BD5B0E"/>
    <w:rsid w:val="00BD5FC3"/>
    <w:rsid w:val="00BD6990"/>
    <w:rsid w:val="00BE08D9"/>
    <w:rsid w:val="00BE1386"/>
    <w:rsid w:val="00BE24A1"/>
    <w:rsid w:val="00BE3D68"/>
    <w:rsid w:val="00BE55E6"/>
    <w:rsid w:val="00BE5FBE"/>
    <w:rsid w:val="00BE6445"/>
    <w:rsid w:val="00BF000D"/>
    <w:rsid w:val="00BF1E6D"/>
    <w:rsid w:val="00BF21BB"/>
    <w:rsid w:val="00BF2E8E"/>
    <w:rsid w:val="00BF6422"/>
    <w:rsid w:val="00C02E7F"/>
    <w:rsid w:val="00C0346B"/>
    <w:rsid w:val="00C04C64"/>
    <w:rsid w:val="00C04D05"/>
    <w:rsid w:val="00C04F12"/>
    <w:rsid w:val="00C066C7"/>
    <w:rsid w:val="00C06DB2"/>
    <w:rsid w:val="00C10ACF"/>
    <w:rsid w:val="00C12103"/>
    <w:rsid w:val="00C12CCF"/>
    <w:rsid w:val="00C17013"/>
    <w:rsid w:val="00C17863"/>
    <w:rsid w:val="00C17B3F"/>
    <w:rsid w:val="00C203B0"/>
    <w:rsid w:val="00C20BE2"/>
    <w:rsid w:val="00C22570"/>
    <w:rsid w:val="00C256C3"/>
    <w:rsid w:val="00C279A6"/>
    <w:rsid w:val="00C27D6C"/>
    <w:rsid w:val="00C30194"/>
    <w:rsid w:val="00C31306"/>
    <w:rsid w:val="00C3198F"/>
    <w:rsid w:val="00C33C6F"/>
    <w:rsid w:val="00C346D4"/>
    <w:rsid w:val="00C348F6"/>
    <w:rsid w:val="00C34D42"/>
    <w:rsid w:val="00C37973"/>
    <w:rsid w:val="00C42151"/>
    <w:rsid w:val="00C4275C"/>
    <w:rsid w:val="00C432EC"/>
    <w:rsid w:val="00C44083"/>
    <w:rsid w:val="00C450E1"/>
    <w:rsid w:val="00C45B87"/>
    <w:rsid w:val="00C47287"/>
    <w:rsid w:val="00C510AF"/>
    <w:rsid w:val="00C53465"/>
    <w:rsid w:val="00C53773"/>
    <w:rsid w:val="00C53D43"/>
    <w:rsid w:val="00C53E18"/>
    <w:rsid w:val="00C55EE8"/>
    <w:rsid w:val="00C56517"/>
    <w:rsid w:val="00C57A7D"/>
    <w:rsid w:val="00C60573"/>
    <w:rsid w:val="00C60BB9"/>
    <w:rsid w:val="00C614CD"/>
    <w:rsid w:val="00C62685"/>
    <w:rsid w:val="00C62D95"/>
    <w:rsid w:val="00C63395"/>
    <w:rsid w:val="00C63574"/>
    <w:rsid w:val="00C7036D"/>
    <w:rsid w:val="00C72587"/>
    <w:rsid w:val="00C72AAD"/>
    <w:rsid w:val="00C72E5E"/>
    <w:rsid w:val="00C72EC0"/>
    <w:rsid w:val="00C7394F"/>
    <w:rsid w:val="00C740D8"/>
    <w:rsid w:val="00C7430D"/>
    <w:rsid w:val="00C74E4B"/>
    <w:rsid w:val="00C762FE"/>
    <w:rsid w:val="00C76698"/>
    <w:rsid w:val="00C7729D"/>
    <w:rsid w:val="00C77355"/>
    <w:rsid w:val="00C774A0"/>
    <w:rsid w:val="00C80CB1"/>
    <w:rsid w:val="00C85025"/>
    <w:rsid w:val="00C877F0"/>
    <w:rsid w:val="00C90051"/>
    <w:rsid w:val="00C90315"/>
    <w:rsid w:val="00C907BD"/>
    <w:rsid w:val="00C915C8"/>
    <w:rsid w:val="00C931B7"/>
    <w:rsid w:val="00C94FDB"/>
    <w:rsid w:val="00C95377"/>
    <w:rsid w:val="00C95AEE"/>
    <w:rsid w:val="00C96F0F"/>
    <w:rsid w:val="00CA0818"/>
    <w:rsid w:val="00CA111A"/>
    <w:rsid w:val="00CA11C2"/>
    <w:rsid w:val="00CA23AA"/>
    <w:rsid w:val="00CA2BC2"/>
    <w:rsid w:val="00CA57B7"/>
    <w:rsid w:val="00CA59B5"/>
    <w:rsid w:val="00CA5E68"/>
    <w:rsid w:val="00CA62C4"/>
    <w:rsid w:val="00CA6DBC"/>
    <w:rsid w:val="00CA77F6"/>
    <w:rsid w:val="00CA7FDC"/>
    <w:rsid w:val="00CA7FF4"/>
    <w:rsid w:val="00CB0620"/>
    <w:rsid w:val="00CB1E30"/>
    <w:rsid w:val="00CB2384"/>
    <w:rsid w:val="00CB3B38"/>
    <w:rsid w:val="00CB566F"/>
    <w:rsid w:val="00CB6050"/>
    <w:rsid w:val="00CB62EB"/>
    <w:rsid w:val="00CB6E5B"/>
    <w:rsid w:val="00CB7D22"/>
    <w:rsid w:val="00CC04C9"/>
    <w:rsid w:val="00CC089E"/>
    <w:rsid w:val="00CC0A91"/>
    <w:rsid w:val="00CC3607"/>
    <w:rsid w:val="00CC38E7"/>
    <w:rsid w:val="00CC3B4C"/>
    <w:rsid w:val="00CC5822"/>
    <w:rsid w:val="00CC6342"/>
    <w:rsid w:val="00CC688B"/>
    <w:rsid w:val="00CD2488"/>
    <w:rsid w:val="00CD3B8E"/>
    <w:rsid w:val="00CD4E07"/>
    <w:rsid w:val="00CD6670"/>
    <w:rsid w:val="00CD677F"/>
    <w:rsid w:val="00CD70C6"/>
    <w:rsid w:val="00CE0181"/>
    <w:rsid w:val="00CE06A6"/>
    <w:rsid w:val="00CE1182"/>
    <w:rsid w:val="00CE11C6"/>
    <w:rsid w:val="00CE4663"/>
    <w:rsid w:val="00CE4B90"/>
    <w:rsid w:val="00CE6A99"/>
    <w:rsid w:val="00CE7124"/>
    <w:rsid w:val="00CF3B1D"/>
    <w:rsid w:val="00CF465B"/>
    <w:rsid w:val="00CF505C"/>
    <w:rsid w:val="00CF50ED"/>
    <w:rsid w:val="00CF6974"/>
    <w:rsid w:val="00CF79B4"/>
    <w:rsid w:val="00D007C5"/>
    <w:rsid w:val="00D01C07"/>
    <w:rsid w:val="00D02305"/>
    <w:rsid w:val="00D0315C"/>
    <w:rsid w:val="00D031E1"/>
    <w:rsid w:val="00D054B7"/>
    <w:rsid w:val="00D0608B"/>
    <w:rsid w:val="00D06873"/>
    <w:rsid w:val="00D06DF5"/>
    <w:rsid w:val="00D115C3"/>
    <w:rsid w:val="00D118DE"/>
    <w:rsid w:val="00D129E8"/>
    <w:rsid w:val="00D12B59"/>
    <w:rsid w:val="00D12D23"/>
    <w:rsid w:val="00D1334B"/>
    <w:rsid w:val="00D13AFD"/>
    <w:rsid w:val="00D144CF"/>
    <w:rsid w:val="00D1644F"/>
    <w:rsid w:val="00D16A83"/>
    <w:rsid w:val="00D21049"/>
    <w:rsid w:val="00D21A1A"/>
    <w:rsid w:val="00D22E1D"/>
    <w:rsid w:val="00D23337"/>
    <w:rsid w:val="00D2624B"/>
    <w:rsid w:val="00D271C4"/>
    <w:rsid w:val="00D2732A"/>
    <w:rsid w:val="00D27AA6"/>
    <w:rsid w:val="00D31C1F"/>
    <w:rsid w:val="00D326C1"/>
    <w:rsid w:val="00D327D7"/>
    <w:rsid w:val="00D32BDB"/>
    <w:rsid w:val="00D369ED"/>
    <w:rsid w:val="00D37A0E"/>
    <w:rsid w:val="00D42450"/>
    <w:rsid w:val="00D42548"/>
    <w:rsid w:val="00D43EFD"/>
    <w:rsid w:val="00D4537B"/>
    <w:rsid w:val="00D45667"/>
    <w:rsid w:val="00D46DA5"/>
    <w:rsid w:val="00D4784A"/>
    <w:rsid w:val="00D500EC"/>
    <w:rsid w:val="00D50BD5"/>
    <w:rsid w:val="00D5441C"/>
    <w:rsid w:val="00D56223"/>
    <w:rsid w:val="00D56573"/>
    <w:rsid w:val="00D57071"/>
    <w:rsid w:val="00D57D73"/>
    <w:rsid w:val="00D60771"/>
    <w:rsid w:val="00D62653"/>
    <w:rsid w:val="00D65051"/>
    <w:rsid w:val="00D65597"/>
    <w:rsid w:val="00D66209"/>
    <w:rsid w:val="00D66676"/>
    <w:rsid w:val="00D674DE"/>
    <w:rsid w:val="00D715E8"/>
    <w:rsid w:val="00D7318C"/>
    <w:rsid w:val="00D7418A"/>
    <w:rsid w:val="00D742C3"/>
    <w:rsid w:val="00D74602"/>
    <w:rsid w:val="00D7686E"/>
    <w:rsid w:val="00D770AD"/>
    <w:rsid w:val="00D7748B"/>
    <w:rsid w:val="00D77D50"/>
    <w:rsid w:val="00D80728"/>
    <w:rsid w:val="00D85739"/>
    <w:rsid w:val="00D86663"/>
    <w:rsid w:val="00D87220"/>
    <w:rsid w:val="00D87354"/>
    <w:rsid w:val="00D906B9"/>
    <w:rsid w:val="00D90966"/>
    <w:rsid w:val="00D909E0"/>
    <w:rsid w:val="00D9154D"/>
    <w:rsid w:val="00D91B1D"/>
    <w:rsid w:val="00D91F88"/>
    <w:rsid w:val="00D9252B"/>
    <w:rsid w:val="00D94369"/>
    <w:rsid w:val="00D9438D"/>
    <w:rsid w:val="00D95D85"/>
    <w:rsid w:val="00D95DB6"/>
    <w:rsid w:val="00D95E6D"/>
    <w:rsid w:val="00D96C0E"/>
    <w:rsid w:val="00D9714B"/>
    <w:rsid w:val="00D97624"/>
    <w:rsid w:val="00D9773C"/>
    <w:rsid w:val="00DA080B"/>
    <w:rsid w:val="00DA27E6"/>
    <w:rsid w:val="00DA494B"/>
    <w:rsid w:val="00DA4AA8"/>
    <w:rsid w:val="00DA4D2E"/>
    <w:rsid w:val="00DA618E"/>
    <w:rsid w:val="00DA7573"/>
    <w:rsid w:val="00DB17E7"/>
    <w:rsid w:val="00DB2133"/>
    <w:rsid w:val="00DB2CB5"/>
    <w:rsid w:val="00DB3A67"/>
    <w:rsid w:val="00DB6F0C"/>
    <w:rsid w:val="00DC076D"/>
    <w:rsid w:val="00DC15F4"/>
    <w:rsid w:val="00DC19CA"/>
    <w:rsid w:val="00DC21DF"/>
    <w:rsid w:val="00DC28AA"/>
    <w:rsid w:val="00DC306B"/>
    <w:rsid w:val="00DC3835"/>
    <w:rsid w:val="00DC46DB"/>
    <w:rsid w:val="00DD2331"/>
    <w:rsid w:val="00DD2D73"/>
    <w:rsid w:val="00DD6B84"/>
    <w:rsid w:val="00DD755A"/>
    <w:rsid w:val="00DE2E43"/>
    <w:rsid w:val="00DE37AB"/>
    <w:rsid w:val="00DE385A"/>
    <w:rsid w:val="00DE3E69"/>
    <w:rsid w:val="00DE4DE7"/>
    <w:rsid w:val="00DE798D"/>
    <w:rsid w:val="00DF3073"/>
    <w:rsid w:val="00DF3363"/>
    <w:rsid w:val="00DF40C8"/>
    <w:rsid w:val="00DF52BC"/>
    <w:rsid w:val="00DF52DB"/>
    <w:rsid w:val="00DF6B44"/>
    <w:rsid w:val="00DF790E"/>
    <w:rsid w:val="00DF7A02"/>
    <w:rsid w:val="00E00E3D"/>
    <w:rsid w:val="00E00FE8"/>
    <w:rsid w:val="00E01106"/>
    <w:rsid w:val="00E011F2"/>
    <w:rsid w:val="00E01AC7"/>
    <w:rsid w:val="00E0415E"/>
    <w:rsid w:val="00E053F6"/>
    <w:rsid w:val="00E055A7"/>
    <w:rsid w:val="00E05A11"/>
    <w:rsid w:val="00E065E3"/>
    <w:rsid w:val="00E1166A"/>
    <w:rsid w:val="00E11AB0"/>
    <w:rsid w:val="00E12C74"/>
    <w:rsid w:val="00E1380C"/>
    <w:rsid w:val="00E144D1"/>
    <w:rsid w:val="00E1518C"/>
    <w:rsid w:val="00E155B4"/>
    <w:rsid w:val="00E15704"/>
    <w:rsid w:val="00E15B07"/>
    <w:rsid w:val="00E165B8"/>
    <w:rsid w:val="00E212A2"/>
    <w:rsid w:val="00E2172F"/>
    <w:rsid w:val="00E225BC"/>
    <w:rsid w:val="00E22ED8"/>
    <w:rsid w:val="00E23EFB"/>
    <w:rsid w:val="00E24735"/>
    <w:rsid w:val="00E252B2"/>
    <w:rsid w:val="00E25AC7"/>
    <w:rsid w:val="00E25BEA"/>
    <w:rsid w:val="00E25CCB"/>
    <w:rsid w:val="00E27CE0"/>
    <w:rsid w:val="00E3086D"/>
    <w:rsid w:val="00E310D4"/>
    <w:rsid w:val="00E31643"/>
    <w:rsid w:val="00E31A71"/>
    <w:rsid w:val="00E31AC1"/>
    <w:rsid w:val="00E31D89"/>
    <w:rsid w:val="00E32393"/>
    <w:rsid w:val="00E33F55"/>
    <w:rsid w:val="00E3490E"/>
    <w:rsid w:val="00E377D8"/>
    <w:rsid w:val="00E4025D"/>
    <w:rsid w:val="00E40A08"/>
    <w:rsid w:val="00E40F71"/>
    <w:rsid w:val="00E41B76"/>
    <w:rsid w:val="00E41D3C"/>
    <w:rsid w:val="00E428CD"/>
    <w:rsid w:val="00E43408"/>
    <w:rsid w:val="00E45792"/>
    <w:rsid w:val="00E45DD5"/>
    <w:rsid w:val="00E466B6"/>
    <w:rsid w:val="00E469C7"/>
    <w:rsid w:val="00E52395"/>
    <w:rsid w:val="00E52A17"/>
    <w:rsid w:val="00E530A3"/>
    <w:rsid w:val="00E539EE"/>
    <w:rsid w:val="00E540DA"/>
    <w:rsid w:val="00E5478E"/>
    <w:rsid w:val="00E57520"/>
    <w:rsid w:val="00E57D93"/>
    <w:rsid w:val="00E62E40"/>
    <w:rsid w:val="00E65109"/>
    <w:rsid w:val="00E65111"/>
    <w:rsid w:val="00E666DD"/>
    <w:rsid w:val="00E67328"/>
    <w:rsid w:val="00E67C4D"/>
    <w:rsid w:val="00E706AD"/>
    <w:rsid w:val="00E71D39"/>
    <w:rsid w:val="00E72046"/>
    <w:rsid w:val="00E7267F"/>
    <w:rsid w:val="00E74572"/>
    <w:rsid w:val="00E74B49"/>
    <w:rsid w:val="00E75D2F"/>
    <w:rsid w:val="00E75D79"/>
    <w:rsid w:val="00E75F3D"/>
    <w:rsid w:val="00E765F4"/>
    <w:rsid w:val="00E776DA"/>
    <w:rsid w:val="00E801DF"/>
    <w:rsid w:val="00E810E1"/>
    <w:rsid w:val="00E825C8"/>
    <w:rsid w:val="00E829E7"/>
    <w:rsid w:val="00E82E7A"/>
    <w:rsid w:val="00E830CB"/>
    <w:rsid w:val="00E84BE2"/>
    <w:rsid w:val="00E86752"/>
    <w:rsid w:val="00E878B7"/>
    <w:rsid w:val="00E90AB7"/>
    <w:rsid w:val="00E91933"/>
    <w:rsid w:val="00E93602"/>
    <w:rsid w:val="00E941A8"/>
    <w:rsid w:val="00E970E9"/>
    <w:rsid w:val="00E973D2"/>
    <w:rsid w:val="00E97409"/>
    <w:rsid w:val="00E975C6"/>
    <w:rsid w:val="00EA05A1"/>
    <w:rsid w:val="00EA33F4"/>
    <w:rsid w:val="00EA3CB8"/>
    <w:rsid w:val="00EA3FB9"/>
    <w:rsid w:val="00EA548D"/>
    <w:rsid w:val="00EA5B67"/>
    <w:rsid w:val="00EA63E0"/>
    <w:rsid w:val="00EA66D6"/>
    <w:rsid w:val="00EA7111"/>
    <w:rsid w:val="00EA727C"/>
    <w:rsid w:val="00EA7F9A"/>
    <w:rsid w:val="00EB121D"/>
    <w:rsid w:val="00EB2841"/>
    <w:rsid w:val="00EB457C"/>
    <w:rsid w:val="00EB5DB0"/>
    <w:rsid w:val="00EB6127"/>
    <w:rsid w:val="00EC07B8"/>
    <w:rsid w:val="00EC0F07"/>
    <w:rsid w:val="00EC12E7"/>
    <w:rsid w:val="00EC2786"/>
    <w:rsid w:val="00EC350D"/>
    <w:rsid w:val="00EC4B91"/>
    <w:rsid w:val="00EC544B"/>
    <w:rsid w:val="00EC599B"/>
    <w:rsid w:val="00EC6B26"/>
    <w:rsid w:val="00EC7E60"/>
    <w:rsid w:val="00EC7E69"/>
    <w:rsid w:val="00ED4163"/>
    <w:rsid w:val="00ED4E51"/>
    <w:rsid w:val="00ED5CA3"/>
    <w:rsid w:val="00ED5E80"/>
    <w:rsid w:val="00EE0BEE"/>
    <w:rsid w:val="00EE0BFE"/>
    <w:rsid w:val="00EE1444"/>
    <w:rsid w:val="00EE3E7A"/>
    <w:rsid w:val="00EE5122"/>
    <w:rsid w:val="00EE53CB"/>
    <w:rsid w:val="00EE6DE5"/>
    <w:rsid w:val="00EF2938"/>
    <w:rsid w:val="00EF34AC"/>
    <w:rsid w:val="00EF5500"/>
    <w:rsid w:val="00EF5F1B"/>
    <w:rsid w:val="00F024B5"/>
    <w:rsid w:val="00F03796"/>
    <w:rsid w:val="00F0424E"/>
    <w:rsid w:val="00F0442C"/>
    <w:rsid w:val="00F04634"/>
    <w:rsid w:val="00F04CD5"/>
    <w:rsid w:val="00F06DDA"/>
    <w:rsid w:val="00F070A7"/>
    <w:rsid w:val="00F10569"/>
    <w:rsid w:val="00F11D0C"/>
    <w:rsid w:val="00F125EB"/>
    <w:rsid w:val="00F12E17"/>
    <w:rsid w:val="00F137E0"/>
    <w:rsid w:val="00F1387B"/>
    <w:rsid w:val="00F15332"/>
    <w:rsid w:val="00F15973"/>
    <w:rsid w:val="00F160FA"/>
    <w:rsid w:val="00F168EB"/>
    <w:rsid w:val="00F173F3"/>
    <w:rsid w:val="00F20ADC"/>
    <w:rsid w:val="00F220BB"/>
    <w:rsid w:val="00F2234D"/>
    <w:rsid w:val="00F2351A"/>
    <w:rsid w:val="00F25EAA"/>
    <w:rsid w:val="00F30B1D"/>
    <w:rsid w:val="00F3367C"/>
    <w:rsid w:val="00F33982"/>
    <w:rsid w:val="00F35022"/>
    <w:rsid w:val="00F35A44"/>
    <w:rsid w:val="00F36477"/>
    <w:rsid w:val="00F3691F"/>
    <w:rsid w:val="00F36C15"/>
    <w:rsid w:val="00F4004D"/>
    <w:rsid w:val="00F41159"/>
    <w:rsid w:val="00F42112"/>
    <w:rsid w:val="00F42333"/>
    <w:rsid w:val="00F42427"/>
    <w:rsid w:val="00F46FAA"/>
    <w:rsid w:val="00F47316"/>
    <w:rsid w:val="00F474E8"/>
    <w:rsid w:val="00F47DD3"/>
    <w:rsid w:val="00F50AA4"/>
    <w:rsid w:val="00F51410"/>
    <w:rsid w:val="00F54944"/>
    <w:rsid w:val="00F54BBD"/>
    <w:rsid w:val="00F54DEE"/>
    <w:rsid w:val="00F552C4"/>
    <w:rsid w:val="00F55648"/>
    <w:rsid w:val="00F57444"/>
    <w:rsid w:val="00F57A1F"/>
    <w:rsid w:val="00F61F39"/>
    <w:rsid w:val="00F61FCE"/>
    <w:rsid w:val="00F63366"/>
    <w:rsid w:val="00F64014"/>
    <w:rsid w:val="00F6406A"/>
    <w:rsid w:val="00F64237"/>
    <w:rsid w:val="00F6641A"/>
    <w:rsid w:val="00F66CAD"/>
    <w:rsid w:val="00F67E3C"/>
    <w:rsid w:val="00F70864"/>
    <w:rsid w:val="00F72005"/>
    <w:rsid w:val="00F73B4E"/>
    <w:rsid w:val="00F74607"/>
    <w:rsid w:val="00F74819"/>
    <w:rsid w:val="00F75F1A"/>
    <w:rsid w:val="00F7669D"/>
    <w:rsid w:val="00F767E3"/>
    <w:rsid w:val="00F76B64"/>
    <w:rsid w:val="00F76E6D"/>
    <w:rsid w:val="00F80548"/>
    <w:rsid w:val="00F80B1F"/>
    <w:rsid w:val="00F81B7E"/>
    <w:rsid w:val="00F82148"/>
    <w:rsid w:val="00F82844"/>
    <w:rsid w:val="00F828B6"/>
    <w:rsid w:val="00F82C27"/>
    <w:rsid w:val="00F85CBB"/>
    <w:rsid w:val="00F86DC6"/>
    <w:rsid w:val="00F872F3"/>
    <w:rsid w:val="00F87CED"/>
    <w:rsid w:val="00F87F66"/>
    <w:rsid w:val="00F90420"/>
    <w:rsid w:val="00F9130C"/>
    <w:rsid w:val="00F9392C"/>
    <w:rsid w:val="00F94356"/>
    <w:rsid w:val="00F94E98"/>
    <w:rsid w:val="00F960F0"/>
    <w:rsid w:val="00F961B3"/>
    <w:rsid w:val="00FA000F"/>
    <w:rsid w:val="00FA06F4"/>
    <w:rsid w:val="00FA103E"/>
    <w:rsid w:val="00FA28FB"/>
    <w:rsid w:val="00FA330D"/>
    <w:rsid w:val="00FA3BED"/>
    <w:rsid w:val="00FA4B3A"/>
    <w:rsid w:val="00FA6878"/>
    <w:rsid w:val="00FA7F6F"/>
    <w:rsid w:val="00FB0AD0"/>
    <w:rsid w:val="00FB1F25"/>
    <w:rsid w:val="00FB202A"/>
    <w:rsid w:val="00FB2BD4"/>
    <w:rsid w:val="00FB4683"/>
    <w:rsid w:val="00FB53C9"/>
    <w:rsid w:val="00FB575E"/>
    <w:rsid w:val="00FB6B8E"/>
    <w:rsid w:val="00FB72F1"/>
    <w:rsid w:val="00FC046A"/>
    <w:rsid w:val="00FC0925"/>
    <w:rsid w:val="00FC11E2"/>
    <w:rsid w:val="00FC357C"/>
    <w:rsid w:val="00FC3830"/>
    <w:rsid w:val="00FC4871"/>
    <w:rsid w:val="00FC752F"/>
    <w:rsid w:val="00FC7D24"/>
    <w:rsid w:val="00FC7D3A"/>
    <w:rsid w:val="00FD13FC"/>
    <w:rsid w:val="00FD384E"/>
    <w:rsid w:val="00FD4716"/>
    <w:rsid w:val="00FD601D"/>
    <w:rsid w:val="00FD6DEB"/>
    <w:rsid w:val="00FE0473"/>
    <w:rsid w:val="00FE05D7"/>
    <w:rsid w:val="00FE09FB"/>
    <w:rsid w:val="00FE162A"/>
    <w:rsid w:val="00FE2314"/>
    <w:rsid w:val="00FE31B4"/>
    <w:rsid w:val="00FE3606"/>
    <w:rsid w:val="00FE5603"/>
    <w:rsid w:val="00FE7359"/>
    <w:rsid w:val="00FE7670"/>
    <w:rsid w:val="00FF0D58"/>
    <w:rsid w:val="00FF3751"/>
    <w:rsid w:val="00FF522A"/>
    <w:rsid w:val="00FF58BE"/>
    <w:rsid w:val="00FF5E0E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47C1D1"/>
  <w15:docId w15:val="{08862778-7476-4FD4-B9B1-0E34736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67"/>
    <w:rPr>
      <w:sz w:val="24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rsid w:val="00B33CC5"/>
    <w:pPr>
      <w:numPr>
        <w:ilvl w:val="2"/>
      </w:numPr>
      <w:outlineLvl w:val="2"/>
    </w:pPr>
    <w:rPr>
      <w:rFonts w:cs="Arial"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left" w:pos="960"/>
        <w:tab w:val="right" w:leader="dot" w:pos="8296"/>
      </w:tabs>
      <w:ind w:left="227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paragraph" w:styleId="BalloonText">
    <w:name w:val="Balloon Text"/>
    <w:basedOn w:val="Normal"/>
    <w:semiHidden/>
    <w:rsid w:val="004423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7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C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7C47"/>
  </w:style>
  <w:style w:type="paragraph" w:styleId="CommentSubject">
    <w:name w:val="annotation subject"/>
    <w:basedOn w:val="CommentText"/>
    <w:next w:val="CommentText"/>
    <w:link w:val="CommentSubjectChar"/>
    <w:rsid w:val="006C7C47"/>
    <w:rPr>
      <w:b/>
      <w:bCs/>
    </w:rPr>
  </w:style>
  <w:style w:type="character" w:customStyle="1" w:styleId="CommentSubjectChar">
    <w:name w:val="Comment Subject Char"/>
    <w:link w:val="CommentSubject"/>
    <w:rsid w:val="006C7C47"/>
    <w:rPr>
      <w:b/>
      <w:bCs/>
    </w:rPr>
  </w:style>
  <w:style w:type="character" w:customStyle="1" w:styleId="FootnoteTextChar">
    <w:name w:val="Footnote Text Char"/>
    <w:link w:val="FootnoteText"/>
    <w:semiHidden/>
    <w:rsid w:val="00DE37AB"/>
  </w:style>
  <w:style w:type="paragraph" w:styleId="ListBullet">
    <w:name w:val="List Bullet"/>
    <w:basedOn w:val="Normal"/>
    <w:unhideWhenUsed/>
    <w:rsid w:val="00EA3CB8"/>
    <w:pPr>
      <w:numPr>
        <w:numId w:val="25"/>
      </w:numPr>
      <w:spacing w:after="240"/>
      <w:jc w:val="both"/>
    </w:pPr>
  </w:style>
  <w:style w:type="paragraph" w:customStyle="1" w:styleId="ListDash">
    <w:name w:val="List Dash"/>
    <w:basedOn w:val="Normal"/>
    <w:rsid w:val="00EA3CB8"/>
    <w:pPr>
      <w:numPr>
        <w:numId w:val="26"/>
      </w:numPr>
      <w:spacing w:after="240"/>
      <w:jc w:val="both"/>
    </w:pPr>
  </w:style>
  <w:style w:type="paragraph" w:styleId="ListBullet5">
    <w:name w:val="List Bullet 5"/>
    <w:basedOn w:val="Normal"/>
    <w:autoRedefine/>
    <w:rsid w:val="00AC1A6C"/>
    <w:pPr>
      <w:numPr>
        <w:numId w:val="30"/>
      </w:numPr>
      <w:spacing w:after="240"/>
      <w:jc w:val="both"/>
    </w:pPr>
  </w:style>
  <w:style w:type="character" w:customStyle="1" w:styleId="HeaderChar">
    <w:name w:val="Header Char"/>
    <w:link w:val="Header"/>
    <w:uiPriority w:val="99"/>
    <w:rsid w:val="00442FA6"/>
    <w:rPr>
      <w:sz w:val="24"/>
    </w:rPr>
  </w:style>
  <w:style w:type="paragraph" w:styleId="ListParagraph">
    <w:name w:val="List Paragraph"/>
    <w:basedOn w:val="Normal"/>
    <w:uiPriority w:val="34"/>
    <w:qFormat/>
    <w:rsid w:val="00157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746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9364-B3D1-45FB-8432-F552A87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7841</Characters>
  <Application>Microsoft Office Word</Application>
  <DocSecurity>0</DocSecurity>
  <Lines>170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9165</CharactersWithSpaces>
  <SharedDoc>false</SharedDoc>
  <HLinks>
    <vt:vector size="72" baseType="variant"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_Toc506468597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_Toc506468596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_Toc506468595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_Toc506468594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_Toc506468593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_Toc506468592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_Toc506468591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_Toc506468590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_Toc506468589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_Toc506468588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_Toc506468587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_Toc506468586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creator>swartwy</dc:creator>
  <cp:lastModifiedBy>GIKAS Triantafyllia (DEVCO)</cp:lastModifiedBy>
  <cp:revision>2</cp:revision>
  <cp:lastPrinted>2017-12-06T15:32:00Z</cp:lastPrinted>
  <dcterms:created xsi:type="dcterms:W3CDTF">2021-01-11T16:15:00Z</dcterms:created>
  <dcterms:modified xsi:type="dcterms:W3CDTF">2021-01-11T16:15:00Z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