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412" w:type="dxa"/>
        <w:tblLayout w:type="fixed"/>
        <w:tblCellMar>
          <w:left w:w="0" w:type="dxa"/>
          <w:right w:w="0" w:type="dxa"/>
        </w:tblCellMar>
        <w:tblLook w:val="0000" w:firstRow="0" w:lastRow="0" w:firstColumn="0" w:lastColumn="0" w:noHBand="0" w:noVBand="0"/>
      </w:tblPr>
      <w:tblGrid>
        <w:gridCol w:w="4672"/>
        <w:gridCol w:w="4672"/>
        <w:gridCol w:w="68"/>
      </w:tblGrid>
      <w:tr w:rsidR="00156B9A" w14:paraId="71355CE4" w14:textId="77777777">
        <w:trPr>
          <w:trHeight w:val="1440"/>
        </w:trPr>
        <w:tc>
          <w:tcPr>
            <w:tcW w:w="4672" w:type="dxa"/>
            <w:tcBorders>
              <w:top w:val="nil"/>
              <w:left w:val="nil"/>
              <w:bottom w:val="nil"/>
              <w:right w:val="nil"/>
            </w:tcBorders>
          </w:tcPr>
          <w:p w14:paraId="113A6C0E" w14:textId="099B261A" w:rsidR="00156B9A" w:rsidRDefault="002444E5">
            <w:pPr>
              <w:pStyle w:val="Heading1"/>
              <w:numPr>
                <w:ilvl w:val="0"/>
                <w:numId w:val="0"/>
              </w:numPr>
              <w:rPr>
                <w:sz w:val="16"/>
              </w:rPr>
            </w:pPr>
            <w:bookmarkStart w:id="0" w:name="_Toc119920576"/>
            <w:bookmarkStart w:id="1" w:name="_Toc183178843"/>
            <w:bookmarkStart w:id="2" w:name="_Toc183186317"/>
            <w:r>
              <w:pict w14:anchorId="24AAB8B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54pt;mso-left-percent:-10001;mso-top-percent:-10001;mso-position-horizontal:absolute;mso-position-horizontal-relative:char;mso-position-vertical:absolute;mso-position-vertical-relative:line;mso-left-percent:-10001;mso-top-percent:-10001">
                  <v:imagedata r:id="rId11" o:title=""/>
                </v:shape>
              </w:pict>
            </w:r>
            <w:bookmarkEnd w:id="0"/>
            <w:bookmarkEnd w:id="1"/>
            <w:bookmarkEnd w:id="2"/>
          </w:p>
        </w:tc>
        <w:tc>
          <w:tcPr>
            <w:tcW w:w="4740" w:type="dxa"/>
            <w:gridSpan w:val="2"/>
            <w:tcBorders>
              <w:top w:val="nil"/>
              <w:left w:val="nil"/>
              <w:bottom w:val="nil"/>
              <w:right w:val="nil"/>
            </w:tcBorders>
          </w:tcPr>
          <w:p w14:paraId="09501022" w14:textId="77777777" w:rsidR="00156B9A" w:rsidRDefault="007A3D90">
            <w:pPr>
              <w:pStyle w:val="ZCom"/>
            </w:pPr>
            <w:r>
              <w:t>COMMISSION EUROPÉENNE</w:t>
            </w:r>
          </w:p>
          <w:p w14:paraId="5F87A0EC" w14:textId="77777777" w:rsidR="00156B9A" w:rsidRDefault="00156B9A">
            <w:pPr>
              <w:pStyle w:val="ZDGName"/>
            </w:pPr>
          </w:p>
        </w:tc>
      </w:tr>
      <w:tr w:rsidR="00156B9A" w:rsidRPr="00D54AD9" w14:paraId="37F0D2AC" w14:textId="77777777">
        <w:tblPrEx>
          <w:tblCellMar>
            <w:left w:w="108" w:type="dxa"/>
            <w:right w:w="108" w:type="dxa"/>
          </w:tblCellMar>
          <w:tblLook w:val="01E0" w:firstRow="1" w:lastRow="1" w:firstColumn="1" w:lastColumn="1" w:noHBand="0" w:noVBand="0"/>
        </w:tblPrEx>
        <w:trPr>
          <w:gridAfter w:val="1"/>
          <w:wAfter w:w="68" w:type="dxa"/>
        </w:trPr>
        <w:tc>
          <w:tcPr>
            <w:tcW w:w="9344" w:type="dxa"/>
            <w:gridSpan w:val="2"/>
            <w:shd w:val="clear" w:color="auto" w:fill="auto"/>
          </w:tcPr>
          <w:p w14:paraId="27398AE5" w14:textId="740799C4" w:rsidR="00156B9A" w:rsidRPr="00C4668B" w:rsidRDefault="007A3D90">
            <w:pPr>
              <w:pStyle w:val="P68B1DB1-Normal1"/>
              <w:ind w:left="1134" w:hanging="1134"/>
              <w:jc w:val="center"/>
              <w:rPr>
                <w:szCs w:val="28"/>
              </w:rPr>
            </w:pPr>
            <w:r w:rsidRPr="00C4668B">
              <w:rPr>
                <w:szCs w:val="28"/>
              </w:rPr>
              <w:t>CAHIER DES CHARGES POUR</w:t>
            </w:r>
          </w:p>
          <w:p w14:paraId="6592349A" w14:textId="77777777" w:rsidR="00156B9A" w:rsidRPr="00C4668B" w:rsidRDefault="00156B9A">
            <w:pPr>
              <w:ind w:left="1134" w:hanging="1134"/>
              <w:jc w:val="center"/>
              <w:rPr>
                <w:b/>
                <w:sz w:val="28"/>
                <w:szCs w:val="28"/>
              </w:rPr>
            </w:pPr>
          </w:p>
          <w:p w14:paraId="34F8E7BD" w14:textId="77777777" w:rsidR="00156B9A" w:rsidRPr="00C4668B" w:rsidRDefault="007A3D90">
            <w:pPr>
              <w:pStyle w:val="P68B1DB1-Normal1"/>
              <w:spacing w:after="120"/>
              <w:ind w:left="1134" w:hanging="1134"/>
              <w:jc w:val="center"/>
              <w:rPr>
                <w:szCs w:val="28"/>
              </w:rPr>
            </w:pPr>
            <w:r w:rsidRPr="00C4668B">
              <w:rPr>
                <w:szCs w:val="28"/>
              </w:rPr>
              <w:t>UN AUDIT DES SYSTÈMES</w:t>
            </w:r>
          </w:p>
          <w:p w14:paraId="4BDF17CC" w14:textId="77777777" w:rsidR="00156B9A" w:rsidRPr="00C4668B" w:rsidRDefault="007A3D90">
            <w:pPr>
              <w:pStyle w:val="P68B1DB1-Normal2"/>
              <w:ind w:left="1134" w:hanging="1134"/>
              <w:jc w:val="center"/>
              <w:rPr>
                <w:sz w:val="28"/>
                <w:szCs w:val="28"/>
              </w:rPr>
            </w:pPr>
            <w:r w:rsidRPr="00C4668B">
              <w:rPr>
                <w:sz w:val="28"/>
                <w:szCs w:val="28"/>
              </w:rPr>
              <w:t>Conception et efficacité opérationnelle du système de contrôle interne</w:t>
            </w:r>
          </w:p>
          <w:p w14:paraId="48A0DAA8" w14:textId="77777777" w:rsidR="00156B9A" w:rsidRPr="00C4668B" w:rsidRDefault="00156B9A">
            <w:pPr>
              <w:ind w:left="1134" w:hanging="1134"/>
              <w:jc w:val="center"/>
              <w:rPr>
                <w:b/>
                <w:sz w:val="22"/>
                <w:szCs w:val="22"/>
              </w:rPr>
            </w:pPr>
          </w:p>
          <w:p w14:paraId="5DF127EF" w14:textId="7C9D7538" w:rsidR="00156B9A" w:rsidRPr="00C4668B" w:rsidRDefault="007A3D90">
            <w:pPr>
              <w:pStyle w:val="P68B1DB1-Normal3"/>
              <w:ind w:left="1134" w:hanging="1134"/>
              <w:jc w:val="center"/>
              <w:rPr>
                <w:b/>
                <w:sz w:val="24"/>
                <w:szCs w:val="24"/>
              </w:rPr>
            </w:pPr>
            <w:r w:rsidRPr="00C4668B">
              <w:rPr>
                <w:sz w:val="24"/>
                <w:szCs w:val="24"/>
                <w:highlight w:val="yellow"/>
              </w:rPr>
              <w:t>S’il y</w:t>
            </w:r>
            <w:r w:rsidRPr="00C4668B">
              <w:rPr>
                <w:b/>
                <w:sz w:val="24"/>
                <w:szCs w:val="24"/>
              </w:rPr>
              <w:t xml:space="preserve"> </w:t>
            </w:r>
            <w:r w:rsidRPr="00C4668B">
              <w:rPr>
                <w:sz w:val="24"/>
                <w:szCs w:val="24"/>
                <w:highlight w:val="yellow"/>
              </w:rPr>
              <w:t xml:space="preserve">a un # </w:t>
            </w:r>
            <w:r w:rsidR="003E3B39" w:rsidRPr="00C4668B">
              <w:rPr>
                <w:sz w:val="24"/>
                <w:szCs w:val="24"/>
                <w:highlight w:val="yellow"/>
              </w:rPr>
              <w:t xml:space="preserve">d’une demande de prestations de </w:t>
            </w:r>
            <w:proofErr w:type="gramStart"/>
            <w:r w:rsidR="003E3B39" w:rsidRPr="00C4668B">
              <w:rPr>
                <w:sz w:val="24"/>
                <w:szCs w:val="24"/>
                <w:highlight w:val="yellow"/>
              </w:rPr>
              <w:t>service ,</w:t>
            </w:r>
            <w:proofErr w:type="gramEnd"/>
            <w:r w:rsidR="003E3B39" w:rsidRPr="00C4668B">
              <w:rPr>
                <w:sz w:val="24"/>
                <w:szCs w:val="24"/>
                <w:highlight w:val="yellow"/>
              </w:rPr>
              <w:t xml:space="preserve"> </w:t>
            </w:r>
            <w:r w:rsidRPr="00C4668B">
              <w:rPr>
                <w:b/>
                <w:sz w:val="24"/>
                <w:szCs w:val="24"/>
                <w:highlight w:val="yellow"/>
              </w:rPr>
              <w:t>#</w:t>
            </w:r>
            <w:r w:rsidRPr="00C4668B">
              <w:rPr>
                <w:b/>
                <w:sz w:val="24"/>
                <w:szCs w:val="24"/>
                <w:shd w:val="clear" w:color="auto" w:fill="FFFF00"/>
              </w:rPr>
              <w:t xml:space="preserve"> </w:t>
            </w:r>
            <w:r w:rsidRPr="00C4668B">
              <w:rPr>
                <w:b/>
                <w:sz w:val="24"/>
                <w:szCs w:val="24"/>
                <w:highlight w:val="yellow"/>
              </w:rPr>
              <w:t xml:space="preserve">de </w:t>
            </w:r>
            <w:r w:rsidR="003E3B39" w:rsidRPr="00C4668B">
              <w:rPr>
                <w:b/>
                <w:sz w:val="24"/>
                <w:szCs w:val="24"/>
                <w:highlight w:val="yellow"/>
              </w:rPr>
              <w:t>la demande’</w:t>
            </w:r>
          </w:p>
          <w:p w14:paraId="0795F1EA" w14:textId="77777777" w:rsidR="00156B9A" w:rsidRPr="00C4668B" w:rsidRDefault="00156B9A">
            <w:pPr>
              <w:ind w:left="1134" w:hanging="1134"/>
              <w:jc w:val="center"/>
              <w:rPr>
                <w:b/>
                <w:szCs w:val="24"/>
              </w:rPr>
            </w:pPr>
          </w:p>
          <w:p w14:paraId="1E6E5BAD" w14:textId="77777777" w:rsidR="00156B9A" w:rsidRPr="00C4668B" w:rsidRDefault="00156B9A">
            <w:pPr>
              <w:ind w:left="1134" w:hanging="1134"/>
              <w:jc w:val="both"/>
              <w:rPr>
                <w:b/>
                <w:szCs w:val="24"/>
              </w:rPr>
            </w:pPr>
          </w:p>
          <w:p w14:paraId="0ABFC222" w14:textId="4880371B" w:rsidR="00156B9A" w:rsidRPr="00C4668B" w:rsidRDefault="007A3D90">
            <w:pPr>
              <w:rPr>
                <w:szCs w:val="24"/>
              </w:rPr>
            </w:pPr>
            <w:r w:rsidRPr="00C4668B">
              <w:rPr>
                <w:szCs w:val="24"/>
              </w:rPr>
              <w:t xml:space="preserve">Le présent cahier des charges s’applique à l’audit de la conception et de l’efficacité opérationnelle du système de contrôle interne régi par la norme ISAE 3000 (révisée), pour les contrats </w:t>
            </w:r>
            <w:proofErr w:type="gramStart"/>
            <w:r w:rsidRPr="00C4668B">
              <w:rPr>
                <w:szCs w:val="24"/>
              </w:rPr>
              <w:t>suivants:</w:t>
            </w:r>
            <w:proofErr w:type="gramEnd"/>
          </w:p>
          <w:p w14:paraId="7987545C" w14:textId="77777777" w:rsidR="00156B9A" w:rsidRPr="00C4668B" w:rsidRDefault="00156B9A">
            <w:pPr>
              <w:rPr>
                <w:szCs w:val="24"/>
              </w:rPr>
            </w:pPr>
          </w:p>
          <w:p w14:paraId="57BC4E99" w14:textId="73B89370" w:rsidR="00156B9A" w:rsidRPr="00C4668B" w:rsidRDefault="007A3D90">
            <w:pPr>
              <w:rPr>
                <w:szCs w:val="24"/>
              </w:rPr>
            </w:pPr>
            <w:r w:rsidRPr="00C4668B">
              <w:rPr>
                <w:szCs w:val="24"/>
              </w:rPr>
              <w:t>Numéro de contrat</w:t>
            </w:r>
            <w:r w:rsidR="003E6E90" w:rsidRPr="00C4668B">
              <w:rPr>
                <w:rStyle w:val="FootnoteReference"/>
                <w:szCs w:val="24"/>
              </w:rPr>
              <w:footnoteReference w:id="2"/>
            </w:r>
            <w:r w:rsidRPr="00C4668B">
              <w:rPr>
                <w:szCs w:val="24"/>
              </w:rPr>
              <w:t xml:space="preserve">/système </w:t>
            </w:r>
            <w:proofErr w:type="gramStart"/>
            <w:r w:rsidRPr="00C4668B">
              <w:rPr>
                <w:szCs w:val="24"/>
              </w:rPr>
              <w:t>informatique:</w:t>
            </w:r>
            <w:proofErr w:type="gramEnd"/>
            <w:r w:rsidRPr="00C4668B">
              <w:rPr>
                <w:szCs w:val="24"/>
              </w:rPr>
              <w:tab/>
            </w:r>
            <w:r w:rsidRPr="00C4668B">
              <w:rPr>
                <w:szCs w:val="24"/>
              </w:rPr>
              <w:tab/>
            </w:r>
            <w:r w:rsidRPr="00C4668B">
              <w:rPr>
                <w:szCs w:val="24"/>
              </w:rPr>
              <w:tab/>
              <w:t xml:space="preserve">        </w:t>
            </w:r>
            <w:r w:rsidR="00CC25A2" w:rsidRPr="00C4668B">
              <w:rPr>
                <w:szCs w:val="24"/>
              </w:rPr>
              <w:t>&lt;</w:t>
            </w:r>
            <w:r w:rsidRPr="00C4668B">
              <w:rPr>
                <w:szCs w:val="24"/>
                <w:highlight w:val="yellow"/>
              </w:rPr>
              <w:t>Référence, le cas échéant</w:t>
            </w:r>
            <w:r w:rsidR="00CC25A2" w:rsidRPr="00C4668B">
              <w:rPr>
                <w:szCs w:val="24"/>
              </w:rPr>
              <w:t>&gt;</w:t>
            </w:r>
          </w:p>
          <w:p w14:paraId="6E20231D" w14:textId="77777777" w:rsidR="00156B9A" w:rsidRPr="00C4668B" w:rsidRDefault="00156B9A">
            <w:pPr>
              <w:rPr>
                <w:szCs w:val="24"/>
              </w:rPr>
            </w:pPr>
          </w:p>
          <w:p w14:paraId="4F3FD283" w14:textId="77777777" w:rsidR="00156B9A" w:rsidRPr="00C4668B" w:rsidRDefault="00156B9A">
            <w:pPr>
              <w:rPr>
                <w:szCs w:val="24"/>
              </w:rPr>
            </w:pPr>
          </w:p>
          <w:p w14:paraId="5E7BBDDC" w14:textId="77777777" w:rsidR="00156B9A" w:rsidRPr="00C4668B" w:rsidRDefault="007A3D90">
            <w:pPr>
              <w:rPr>
                <w:szCs w:val="24"/>
              </w:rPr>
            </w:pPr>
            <w:r w:rsidRPr="00C4668B">
              <w:rPr>
                <w:szCs w:val="24"/>
              </w:rPr>
              <w:t>Des informations détaillées sont fournies sur la page de couverture de l’annexe 1.</w:t>
            </w:r>
          </w:p>
          <w:p w14:paraId="4C2F8BB2" w14:textId="77777777" w:rsidR="00156B9A" w:rsidRPr="00C4668B" w:rsidRDefault="00156B9A">
            <w:pPr>
              <w:rPr>
                <w:sz w:val="22"/>
                <w:szCs w:val="22"/>
              </w:rPr>
            </w:pPr>
          </w:p>
          <w:p w14:paraId="570EFF48" w14:textId="77777777" w:rsidR="00156B9A" w:rsidRPr="00C4668B" w:rsidRDefault="007A3D90">
            <w:pPr>
              <w:pStyle w:val="P68B1DB1-Normal4"/>
              <w:pBdr>
                <w:top w:val="single" w:sz="4" w:space="1" w:color="auto"/>
                <w:left w:val="single" w:sz="4" w:space="4" w:color="auto"/>
                <w:bottom w:val="single" w:sz="4" w:space="1" w:color="auto"/>
                <w:right w:val="single" w:sz="4" w:space="4" w:color="auto"/>
              </w:pBdr>
              <w:rPr>
                <w:sz w:val="22"/>
                <w:szCs w:val="22"/>
              </w:rPr>
            </w:pPr>
            <w:proofErr w:type="gramStart"/>
            <w:r w:rsidRPr="00C4668B">
              <w:rPr>
                <w:sz w:val="22"/>
                <w:szCs w:val="22"/>
              </w:rPr>
              <w:t>ATTENTION!</w:t>
            </w:r>
            <w:proofErr w:type="gramEnd"/>
          </w:p>
          <w:p w14:paraId="227EA648" w14:textId="77777777" w:rsidR="00C4668B" w:rsidRPr="00C4668B" w:rsidRDefault="00C4668B">
            <w:pPr>
              <w:pStyle w:val="P68B1DB1-Normal2"/>
              <w:pBdr>
                <w:top w:val="single" w:sz="4" w:space="1" w:color="auto"/>
                <w:left w:val="single" w:sz="4" w:space="4" w:color="auto"/>
                <w:bottom w:val="single" w:sz="4" w:space="1" w:color="auto"/>
                <w:right w:val="single" w:sz="4" w:space="4" w:color="auto"/>
              </w:pBdr>
              <w:rPr>
                <w:sz w:val="22"/>
                <w:szCs w:val="22"/>
              </w:rPr>
            </w:pPr>
          </w:p>
          <w:p w14:paraId="75646244" w14:textId="32848F6A" w:rsidR="00156B9A" w:rsidRPr="00C4668B" w:rsidRDefault="007A3D90">
            <w:pPr>
              <w:pStyle w:val="P68B1DB1-Normal2"/>
              <w:pBdr>
                <w:top w:val="single" w:sz="4" w:space="1" w:color="auto"/>
                <w:left w:val="single" w:sz="4" w:space="4" w:color="auto"/>
                <w:bottom w:val="single" w:sz="4" w:space="1" w:color="auto"/>
                <w:right w:val="single" w:sz="4" w:space="4" w:color="auto"/>
              </w:pBdr>
              <w:rPr>
                <w:sz w:val="22"/>
                <w:szCs w:val="22"/>
              </w:rPr>
            </w:pPr>
            <w:r w:rsidRPr="00C4668B">
              <w:rPr>
                <w:sz w:val="22"/>
                <w:szCs w:val="22"/>
              </w:rPr>
              <w:t>Règles d’</w:t>
            </w:r>
            <w:r w:rsidR="00D54AD9" w:rsidRPr="00C4668B">
              <w:rPr>
                <w:sz w:val="22"/>
                <w:szCs w:val="22"/>
              </w:rPr>
              <w:t>éligibilit</w:t>
            </w:r>
            <w:r w:rsidRPr="00C4668B">
              <w:rPr>
                <w:sz w:val="22"/>
                <w:szCs w:val="22"/>
              </w:rPr>
              <w:t>é</w:t>
            </w:r>
            <w:r w:rsidR="007E7896" w:rsidRPr="00C4668B">
              <w:rPr>
                <w:sz w:val="22"/>
                <w:szCs w:val="22"/>
              </w:rPr>
              <w:t xml:space="preserve"> </w:t>
            </w:r>
            <w:r w:rsidR="007E7896" w:rsidRPr="00C4668B">
              <w:rPr>
                <w:b w:val="0"/>
                <w:bCs/>
                <w:color w:val="FF0000"/>
                <w:sz w:val="22"/>
                <w:szCs w:val="22"/>
              </w:rPr>
              <w:t xml:space="preserve">applicables aux membres du consortium et aux </w:t>
            </w:r>
            <w:r w:rsidR="007E7896" w:rsidRPr="00C4668B">
              <w:rPr>
                <w:color w:val="FF0000"/>
                <w:sz w:val="22"/>
                <w:szCs w:val="22"/>
              </w:rPr>
              <w:t>sous-</w:t>
            </w:r>
            <w:proofErr w:type="gramStart"/>
            <w:r w:rsidR="007E7896" w:rsidRPr="00C4668B">
              <w:rPr>
                <w:color w:val="FF0000"/>
                <w:sz w:val="22"/>
                <w:szCs w:val="22"/>
              </w:rPr>
              <w:t>traitants</w:t>
            </w:r>
            <w:r w:rsidRPr="00C4668B">
              <w:rPr>
                <w:sz w:val="22"/>
                <w:szCs w:val="22"/>
              </w:rPr>
              <w:t>:</w:t>
            </w:r>
            <w:proofErr w:type="gramEnd"/>
          </w:p>
          <w:p w14:paraId="3485B87D" w14:textId="77777777" w:rsidR="00D54AD9" w:rsidRPr="00C4668B" w:rsidRDefault="00D54AD9">
            <w:pPr>
              <w:pBdr>
                <w:top w:val="single" w:sz="4" w:space="1" w:color="auto"/>
                <w:left w:val="single" w:sz="4" w:space="4" w:color="auto"/>
                <w:bottom w:val="single" w:sz="4" w:space="1" w:color="auto"/>
                <w:right w:val="single" w:sz="4" w:space="4" w:color="auto"/>
              </w:pBdr>
              <w:rPr>
                <w:rStyle w:val="normaltextrun"/>
                <w:color w:val="000000"/>
                <w:sz w:val="22"/>
                <w:szCs w:val="22"/>
                <w:shd w:val="clear" w:color="auto" w:fill="FFFFFF"/>
              </w:rPr>
            </w:pPr>
          </w:p>
          <w:p w14:paraId="214EA022" w14:textId="390BEEEA" w:rsidR="00156B9A" w:rsidRPr="00C4668B" w:rsidRDefault="00D54AD9" w:rsidP="00C4668B">
            <w:pPr>
              <w:pBdr>
                <w:top w:val="single" w:sz="4" w:space="1" w:color="auto"/>
                <w:left w:val="single" w:sz="4" w:space="4" w:color="auto"/>
                <w:bottom w:val="single" w:sz="4" w:space="1" w:color="auto"/>
                <w:right w:val="single" w:sz="4" w:space="4" w:color="auto"/>
              </w:pBdr>
              <w:jc w:val="both"/>
              <w:rPr>
                <w:i/>
                <w:sz w:val="22"/>
                <w:szCs w:val="22"/>
              </w:rPr>
            </w:pPr>
            <w:r w:rsidRPr="00C4668B">
              <w:rPr>
                <w:sz w:val="22"/>
                <w:szCs w:val="22"/>
              </w:rPr>
              <w:t xml:space="preserve">Pour les contrats spécifiques à signer au titre du Contrat Cadre d’Audit 2023, l’éligibilité en termes de nationalité sera régie par l’instrument applicable au programme au titre duquel le contrat spécifique est financé. Si un membre du consortium </w:t>
            </w:r>
            <w:r w:rsidRPr="00C4668B">
              <w:rPr>
                <w:rStyle w:val="normaltextrun"/>
                <w:color w:val="000000"/>
                <w:sz w:val="22"/>
                <w:szCs w:val="22"/>
                <w:shd w:val="clear" w:color="auto" w:fill="FFFFFF"/>
              </w:rPr>
              <w:t xml:space="preserve">et/ou sous-traitant </w:t>
            </w:r>
            <w:r w:rsidRPr="00C4668B">
              <w:rPr>
                <w:sz w:val="22"/>
                <w:szCs w:val="22"/>
              </w:rPr>
              <w:t xml:space="preserve">n’est pas éligible au financement du programme au titre du contrat spécifique, ce membre </w:t>
            </w:r>
            <w:r w:rsidRPr="00C4668B">
              <w:rPr>
                <w:rStyle w:val="normaltextrun"/>
                <w:color w:val="000000"/>
                <w:sz w:val="22"/>
                <w:szCs w:val="22"/>
                <w:shd w:val="clear" w:color="auto" w:fill="FFFFFF"/>
              </w:rPr>
              <w:t xml:space="preserve">et/ou sous-traitant </w:t>
            </w:r>
            <w:r w:rsidRPr="00C4668B">
              <w:rPr>
                <w:sz w:val="22"/>
                <w:szCs w:val="22"/>
              </w:rPr>
              <w:t xml:space="preserve">n’est pas éligible à participer à une tâche liée à ce contrat spécifique. Les critères d’éligibilité indiqués ci-dessus doivent être respectés pendant toute la durée du contrat-cadre, y compris la prolongation. Pour de plus amples informations, </w:t>
            </w:r>
            <w:proofErr w:type="spellStart"/>
            <w:r w:rsidRPr="00C4668B">
              <w:rPr>
                <w:sz w:val="22"/>
                <w:szCs w:val="22"/>
              </w:rPr>
              <w:t>veuillez vous</w:t>
            </w:r>
            <w:proofErr w:type="spellEnd"/>
            <w:r w:rsidRPr="00C4668B">
              <w:rPr>
                <w:sz w:val="22"/>
                <w:szCs w:val="22"/>
              </w:rPr>
              <w:t xml:space="preserve"> référer au point 3 du document</w:t>
            </w:r>
            <w:proofErr w:type="gramStart"/>
            <w:r w:rsidRPr="00C4668B">
              <w:rPr>
                <w:sz w:val="22"/>
                <w:szCs w:val="22"/>
              </w:rPr>
              <w:t xml:space="preserve"> «Informations</w:t>
            </w:r>
            <w:bookmarkStart w:id="3" w:name="_Hlk161074929"/>
            <w:proofErr w:type="gramEnd"/>
            <w:r w:rsidRPr="00C4668B">
              <w:rPr>
                <w:sz w:val="22"/>
                <w:szCs w:val="22"/>
              </w:rPr>
              <w:t xml:space="preserve"> complémentaires relatives à l’avis de marché» </w:t>
            </w:r>
            <w:bookmarkEnd w:id="3"/>
            <w:r w:rsidRPr="00C4668B">
              <w:rPr>
                <w:sz w:val="22"/>
                <w:szCs w:val="22"/>
              </w:rPr>
              <w:t>(dossier d’appel d’offres relatif au contrat-cadre Audit 2023)</w:t>
            </w:r>
            <w:r w:rsidR="007A3D90" w:rsidRPr="00C4668B">
              <w:rPr>
                <w:rStyle w:val="normaltextrun"/>
                <w:color w:val="000000"/>
                <w:sz w:val="22"/>
                <w:szCs w:val="22"/>
                <w:shd w:val="clear" w:color="auto" w:fill="FFFFFF"/>
              </w:rPr>
              <w:t>.</w:t>
            </w:r>
          </w:p>
          <w:p w14:paraId="6061EBFA" w14:textId="77777777" w:rsidR="00156B9A" w:rsidRPr="00C4668B" w:rsidRDefault="00156B9A">
            <w:pPr>
              <w:rPr>
                <w:sz w:val="22"/>
                <w:szCs w:val="22"/>
              </w:rPr>
            </w:pPr>
          </w:p>
          <w:p w14:paraId="593E357A" w14:textId="771F846D" w:rsidR="007E7896" w:rsidRPr="00C4668B" w:rsidRDefault="007E7896" w:rsidP="007E7896">
            <w:pPr>
              <w:rPr>
                <w:sz w:val="22"/>
                <w:szCs w:val="22"/>
              </w:rPr>
            </w:pPr>
            <w:r w:rsidRPr="00C4668B">
              <w:rPr>
                <w:sz w:val="22"/>
                <w:szCs w:val="22"/>
              </w:rPr>
              <w:t>[</w:t>
            </w:r>
            <w:r w:rsidRPr="00C4668B">
              <w:rPr>
                <w:b/>
                <w:bCs/>
                <w:sz w:val="22"/>
                <w:szCs w:val="22"/>
              </w:rPr>
              <w:t>Aux contractants-</w:t>
            </w:r>
            <w:proofErr w:type="gramStart"/>
            <w:r w:rsidRPr="00C4668B">
              <w:rPr>
                <w:b/>
                <w:bCs/>
                <w:sz w:val="22"/>
                <w:szCs w:val="22"/>
              </w:rPr>
              <w:t>cadres</w:t>
            </w:r>
            <w:r w:rsidRPr="00C4668B">
              <w:rPr>
                <w:sz w:val="22"/>
                <w:szCs w:val="22"/>
              </w:rPr>
              <w:t>:</w:t>
            </w:r>
            <w:proofErr w:type="gramEnd"/>
            <w:r w:rsidRPr="00C4668B">
              <w:rPr>
                <w:sz w:val="22"/>
                <w:szCs w:val="22"/>
              </w:rPr>
              <w:t xml:space="preserve"> </w:t>
            </w:r>
          </w:p>
          <w:p w14:paraId="42967F68" w14:textId="77777777" w:rsidR="007E7896" w:rsidRPr="00C4668B" w:rsidRDefault="007E7896" w:rsidP="007E7896">
            <w:pPr>
              <w:rPr>
                <w:i/>
                <w:iCs/>
                <w:sz w:val="22"/>
                <w:szCs w:val="22"/>
              </w:rPr>
            </w:pPr>
            <w:r w:rsidRPr="00C4668B">
              <w:rPr>
                <w:i/>
                <w:iCs/>
                <w:sz w:val="22"/>
                <w:szCs w:val="22"/>
              </w:rPr>
              <w:t xml:space="preserve">Le tableau ci-dessous définit les règles d’éligibilité applicables aux contractants-cadres (y compris les membres du consortium) conformément à l’instrument de financement applicable au contrat spécifique. </w:t>
            </w:r>
          </w:p>
          <w:p w14:paraId="22A29CD0" w14:textId="77777777" w:rsidR="007E7896" w:rsidRPr="00C4668B" w:rsidRDefault="007E7896" w:rsidP="007E7896">
            <w:pPr>
              <w:rPr>
                <w:i/>
                <w:iCs/>
                <w:sz w:val="22"/>
                <w:szCs w:val="22"/>
              </w:rPr>
            </w:pPr>
            <w:r w:rsidRPr="00C4668B">
              <w:rPr>
                <w:i/>
                <w:iCs/>
                <w:sz w:val="22"/>
                <w:szCs w:val="22"/>
              </w:rPr>
              <w:t xml:space="preserve">Dans le cas des sous-traitants, les règles d’éligibilité en termes de nationalité s’appliquent également et peuvent être consultées dans les documents </w:t>
            </w:r>
            <w:proofErr w:type="gramStart"/>
            <w:r w:rsidRPr="00C4668B">
              <w:rPr>
                <w:i/>
                <w:iCs/>
                <w:sz w:val="22"/>
                <w:szCs w:val="22"/>
              </w:rPr>
              <w:t>suivants:</w:t>
            </w:r>
            <w:proofErr w:type="gramEnd"/>
            <w:r w:rsidRPr="00C4668B">
              <w:rPr>
                <w:i/>
                <w:iCs/>
                <w:sz w:val="22"/>
                <w:szCs w:val="22"/>
              </w:rPr>
              <w:t xml:space="preserve"> </w:t>
            </w:r>
          </w:p>
          <w:p w14:paraId="53669DD8" w14:textId="77777777" w:rsidR="007E7896" w:rsidRPr="00C4668B" w:rsidRDefault="007E7896" w:rsidP="007E7896">
            <w:pPr>
              <w:rPr>
                <w:i/>
                <w:iCs/>
                <w:sz w:val="22"/>
                <w:szCs w:val="22"/>
              </w:rPr>
            </w:pPr>
            <w:r w:rsidRPr="00C4668B">
              <w:rPr>
                <w:i/>
                <w:iCs/>
                <w:sz w:val="22"/>
                <w:szCs w:val="22"/>
              </w:rPr>
              <w:t>Programmes d’éligibilité 2021-</w:t>
            </w:r>
            <w:proofErr w:type="gramStart"/>
            <w:r w:rsidRPr="00C4668B">
              <w:rPr>
                <w:i/>
                <w:iCs/>
                <w:sz w:val="22"/>
                <w:szCs w:val="22"/>
              </w:rPr>
              <w:t>2027:</w:t>
            </w:r>
            <w:proofErr w:type="gramEnd"/>
            <w:r w:rsidRPr="00C4668B">
              <w:rPr>
                <w:i/>
                <w:iCs/>
                <w:sz w:val="22"/>
                <w:szCs w:val="22"/>
              </w:rPr>
              <w:t xml:space="preserve"> PRAG Annexe A2a1</w:t>
            </w:r>
          </w:p>
          <w:p w14:paraId="22C24FD9" w14:textId="77777777" w:rsidR="007E7896" w:rsidRPr="00C4668B" w:rsidRDefault="007E7896" w:rsidP="007E7896">
            <w:pPr>
              <w:rPr>
                <w:i/>
                <w:iCs/>
                <w:sz w:val="22"/>
                <w:szCs w:val="22"/>
              </w:rPr>
            </w:pPr>
            <w:r w:rsidRPr="00C4668B">
              <w:rPr>
                <w:i/>
                <w:iCs/>
                <w:sz w:val="22"/>
                <w:szCs w:val="22"/>
              </w:rPr>
              <w:t>Programmes d’éligibilité 2014-</w:t>
            </w:r>
            <w:proofErr w:type="gramStart"/>
            <w:r w:rsidRPr="00C4668B">
              <w:rPr>
                <w:i/>
                <w:iCs/>
                <w:sz w:val="22"/>
                <w:szCs w:val="22"/>
              </w:rPr>
              <w:t>2020:</w:t>
            </w:r>
            <w:proofErr w:type="gramEnd"/>
            <w:r w:rsidRPr="00C4668B">
              <w:rPr>
                <w:i/>
                <w:iCs/>
                <w:sz w:val="22"/>
                <w:szCs w:val="22"/>
              </w:rPr>
              <w:t xml:space="preserve"> PRAG Annexe A2a </w:t>
            </w:r>
          </w:p>
          <w:p w14:paraId="475B7CD2" w14:textId="0AF5147C" w:rsidR="007E7896" w:rsidRPr="00C4668B" w:rsidRDefault="007E7896" w:rsidP="007E7896">
            <w:pPr>
              <w:rPr>
                <w:sz w:val="22"/>
                <w:szCs w:val="22"/>
              </w:rPr>
            </w:pPr>
            <w:r w:rsidRPr="00C4668B">
              <w:rPr>
                <w:b/>
                <w:bCs/>
                <w:i/>
                <w:iCs/>
                <w:sz w:val="22"/>
                <w:szCs w:val="22"/>
              </w:rPr>
              <w:t>Informations complémentaires sur l’avis de marché</w:t>
            </w:r>
            <w:r w:rsidRPr="00C4668B">
              <w:rPr>
                <w:i/>
                <w:iCs/>
                <w:sz w:val="22"/>
                <w:szCs w:val="22"/>
              </w:rPr>
              <w:t>, point 3</w:t>
            </w:r>
            <w:r w:rsidRPr="00C4668B">
              <w:rPr>
                <w:sz w:val="22"/>
                <w:szCs w:val="22"/>
              </w:rPr>
              <w:t>.]</w:t>
            </w:r>
          </w:p>
          <w:p w14:paraId="0FE879B6" w14:textId="77777777" w:rsidR="00C4668B" w:rsidRPr="00C4668B" w:rsidRDefault="00C4668B" w:rsidP="007E7896">
            <w:pPr>
              <w:rPr>
                <w:sz w:val="22"/>
                <w:szCs w:val="22"/>
              </w:rPr>
            </w:pPr>
          </w:p>
          <w:p w14:paraId="5118A53F" w14:textId="77777777" w:rsidR="00C4668B" w:rsidRPr="00C4668B" w:rsidRDefault="00C4668B" w:rsidP="007E7896">
            <w:pPr>
              <w:rPr>
                <w:sz w:val="22"/>
                <w:szCs w:val="22"/>
              </w:rPr>
            </w:pPr>
          </w:p>
          <w:p w14:paraId="7BECCFA8" w14:textId="77777777" w:rsidR="00C4668B" w:rsidRPr="00C4668B" w:rsidRDefault="00C4668B" w:rsidP="007E7896">
            <w:pPr>
              <w:rPr>
                <w:sz w:val="22"/>
                <w:szCs w:val="22"/>
              </w:rPr>
            </w:pPr>
          </w:p>
          <w:p w14:paraId="00EE5F80" w14:textId="77777777" w:rsidR="00C4668B" w:rsidRPr="00C4668B" w:rsidRDefault="00C4668B" w:rsidP="00C4668B">
            <w:pPr>
              <w:jc w:val="both"/>
              <w:rPr>
                <w:i/>
                <w:sz w:val="22"/>
                <w:szCs w:val="22"/>
                <w:highlight w:val="yellow"/>
              </w:rPr>
            </w:pPr>
            <w:r w:rsidRPr="00C4668B">
              <w:rPr>
                <w:b/>
                <w:sz w:val="22"/>
                <w:szCs w:val="22"/>
              </w:rPr>
              <w:lastRenderedPageBreak/>
              <w:t xml:space="preserve">Instrument de financement applicable au contrat </w:t>
            </w:r>
            <w:proofErr w:type="gramStart"/>
            <w:r w:rsidRPr="00C4668B">
              <w:rPr>
                <w:b/>
                <w:sz w:val="22"/>
                <w:szCs w:val="22"/>
              </w:rPr>
              <w:t>spécifique:</w:t>
            </w:r>
            <w:proofErr w:type="gramEnd"/>
            <w:r w:rsidRPr="00C4668B">
              <w:rPr>
                <w:sz w:val="22"/>
                <w:szCs w:val="22"/>
              </w:rPr>
              <w:t xml:space="preserve"> </w:t>
            </w:r>
            <w:r w:rsidRPr="00C4668B">
              <w:rPr>
                <w:sz w:val="22"/>
                <w:szCs w:val="22"/>
                <w:highlight w:val="yellow"/>
                <w:shd w:val="clear" w:color="auto" w:fill="D9D9D9"/>
              </w:rPr>
              <w:t>[</w:t>
            </w:r>
            <w:r w:rsidRPr="00C4668B">
              <w:rPr>
                <w:i/>
                <w:sz w:val="22"/>
                <w:szCs w:val="22"/>
                <w:highlight w:val="yellow"/>
                <w:shd w:val="clear" w:color="auto" w:fill="D9D9D9"/>
              </w:rPr>
              <w:t>Instructions</w:t>
            </w:r>
            <w:r w:rsidRPr="00C4668B">
              <w:rPr>
                <w:sz w:val="22"/>
                <w:szCs w:val="22"/>
                <w:highlight w:val="yellow"/>
                <w:shd w:val="clear" w:color="auto" w:fill="D9D9D9"/>
              </w:rPr>
              <w:t xml:space="preserve">: </w:t>
            </w:r>
            <w:r w:rsidRPr="00C4668B">
              <w:rPr>
                <w:i/>
                <w:iCs/>
                <w:sz w:val="22"/>
                <w:szCs w:val="22"/>
                <w:highlight w:val="yellow"/>
                <w:shd w:val="clear" w:color="auto" w:fill="D9D9D9"/>
              </w:rPr>
              <w:t>Les critères</w:t>
            </w:r>
            <w:r w:rsidRPr="00C4668B">
              <w:rPr>
                <w:sz w:val="22"/>
                <w:szCs w:val="22"/>
                <w:highlight w:val="yellow"/>
                <w:shd w:val="clear" w:color="auto" w:fill="D9D9D9"/>
              </w:rPr>
              <w:t xml:space="preserve"> </w:t>
            </w:r>
            <w:r w:rsidRPr="00C4668B">
              <w:rPr>
                <w:i/>
                <w:sz w:val="22"/>
                <w:szCs w:val="22"/>
                <w:highlight w:val="yellow"/>
              </w:rPr>
              <w:t xml:space="preserve">d’éligibilité diffèrent en fonction de la source des fonds utilisés pour financer le contrat spécifique (veuillez sélectionner la source des fonds parmi les possibilités présentées dans le tableau ci-dessous pour remplir la référence de l’instrument de financement et supprimer les autres options en conséquence. Pour de plus amples informations, </w:t>
            </w:r>
            <w:proofErr w:type="spellStart"/>
            <w:r w:rsidRPr="00C4668B">
              <w:rPr>
                <w:i/>
                <w:sz w:val="22"/>
                <w:szCs w:val="22"/>
                <w:highlight w:val="yellow"/>
              </w:rPr>
              <w:t>veuillez vous</w:t>
            </w:r>
            <w:proofErr w:type="spellEnd"/>
            <w:r w:rsidRPr="00C4668B">
              <w:rPr>
                <w:i/>
                <w:sz w:val="22"/>
                <w:szCs w:val="22"/>
                <w:highlight w:val="yellow"/>
              </w:rPr>
              <w:t xml:space="preserve"> référer aux </w:t>
            </w:r>
            <w:hyperlink r:id="rId12" w:history="1">
              <w:hyperlink r:id="rId13" w:history="1">
                <w:r w:rsidRPr="00C4668B">
                  <w:rPr>
                    <w:i/>
                    <w:sz w:val="22"/>
                    <w:szCs w:val="22"/>
                    <w:highlight w:val="yellow"/>
                  </w:rPr>
                  <w:t>règles en matière de nationalité publiées sur la page intranet du contrat cadre d’audit 2023.</w:t>
                </w:r>
                <w:r w:rsidRPr="00C4668B">
                  <w:rPr>
                    <w:rStyle w:val="Hyperlink"/>
                    <w:i/>
                    <w:sz w:val="22"/>
                    <w:szCs w:val="22"/>
                    <w:highlight w:val="yellow"/>
                  </w:rPr>
                  <w:t>]</w:t>
                </w:r>
              </w:hyperlink>
            </w:hyperlink>
          </w:p>
          <w:p w14:paraId="53D25457" w14:textId="77777777" w:rsidR="00C4668B" w:rsidRPr="00C4668B" w:rsidRDefault="00C4668B" w:rsidP="00C4668B">
            <w:pPr>
              <w:jc w:val="both"/>
              <w:rPr>
                <w:i/>
                <w:sz w:val="22"/>
                <w:szCs w:val="22"/>
              </w:rPr>
            </w:pPr>
            <w:bookmarkStart w:id="4" w:name="_Hlk161075383"/>
          </w:p>
          <w:p w14:paraId="46FA7934" w14:textId="77777777" w:rsidR="00C4668B" w:rsidRPr="00C4668B" w:rsidRDefault="00C4668B" w:rsidP="00C4668B">
            <w:pPr>
              <w:pStyle w:val="P68B1DB1-Normal7"/>
              <w:jc w:val="center"/>
              <w:rPr>
                <w:b/>
                <w:bCs/>
                <w:sz w:val="22"/>
                <w:szCs w:val="22"/>
              </w:rPr>
            </w:pPr>
            <w:r w:rsidRPr="00C4668B">
              <w:rPr>
                <w:b/>
                <w:bCs/>
                <w:sz w:val="22"/>
                <w:szCs w:val="22"/>
              </w:rPr>
              <w:t>Cadre de financement pluriannuel (CFP) 2021-2027</w:t>
            </w:r>
          </w:p>
          <w:p w14:paraId="12089EE7" w14:textId="77777777" w:rsidR="00C4668B" w:rsidRPr="00C4668B" w:rsidRDefault="00C4668B" w:rsidP="00C4668B">
            <w:pPr>
              <w:jc w:val="center"/>
              <w:rPr>
                <w:b/>
                <w:i/>
                <w:highlight w:val="yellow"/>
                <w:u w:val="single"/>
              </w:rPr>
            </w:pPr>
          </w:p>
          <w:p w14:paraId="6FC4C3AE" w14:textId="77777777" w:rsidR="00C4668B" w:rsidRPr="00C4668B" w:rsidRDefault="00C4668B" w:rsidP="00C4668B">
            <w:pPr>
              <w:jc w:val="center"/>
              <w:rPr>
                <w:b/>
                <w:i/>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9"/>
              <w:gridCol w:w="2127"/>
              <w:gridCol w:w="2799"/>
            </w:tblGrid>
            <w:tr w:rsidR="00C4668B" w:rsidRPr="00C4668B" w14:paraId="386E7774" w14:textId="77777777" w:rsidTr="00C20A7C">
              <w:trPr>
                <w:trHeight w:val="506"/>
              </w:trPr>
              <w:tc>
                <w:tcPr>
                  <w:tcW w:w="4059" w:type="dxa"/>
                </w:tcPr>
                <w:p w14:paraId="6A93DA27" w14:textId="77777777" w:rsidR="00C4668B" w:rsidRPr="00C4668B" w:rsidRDefault="00C4668B" w:rsidP="00C4668B">
                  <w:pPr>
                    <w:pStyle w:val="P68B1DB1-Normal8"/>
                    <w:rPr>
                      <w:b/>
                      <w:bCs/>
                      <w:szCs w:val="22"/>
                    </w:rPr>
                  </w:pPr>
                  <w:r w:rsidRPr="00C4668B">
                    <w:rPr>
                      <w:b/>
                      <w:bCs/>
                      <w:szCs w:val="22"/>
                    </w:rPr>
                    <w:t>Instrument de financement</w:t>
                  </w:r>
                </w:p>
              </w:tc>
              <w:tc>
                <w:tcPr>
                  <w:tcW w:w="2127" w:type="dxa"/>
                </w:tcPr>
                <w:p w14:paraId="4524F265" w14:textId="77777777" w:rsidR="00C4668B" w:rsidRPr="00C4668B" w:rsidRDefault="00C4668B" w:rsidP="00C4668B">
                  <w:pPr>
                    <w:pStyle w:val="P68B1DB1-Normal9"/>
                    <w:rPr>
                      <w:i/>
                      <w:iCs/>
                      <w:color w:val="auto"/>
                      <w:sz w:val="22"/>
                      <w:szCs w:val="22"/>
                    </w:rPr>
                  </w:pPr>
                  <w:r w:rsidRPr="00C4668B">
                    <w:rPr>
                      <w:i/>
                      <w:iCs/>
                      <w:color w:val="auto"/>
                      <w:sz w:val="22"/>
                      <w:szCs w:val="22"/>
                      <w:highlight w:val="yellow"/>
                    </w:rPr>
                    <w:t>Critères d’éligibilité</w:t>
                  </w:r>
                  <w:r w:rsidRPr="00C4668B">
                    <w:rPr>
                      <w:i/>
                      <w:iCs/>
                      <w:color w:val="auto"/>
                      <w:sz w:val="22"/>
                      <w:szCs w:val="22"/>
                    </w:rPr>
                    <w:t xml:space="preserve"> </w:t>
                  </w:r>
                </w:p>
              </w:tc>
              <w:tc>
                <w:tcPr>
                  <w:tcW w:w="2799" w:type="dxa"/>
                </w:tcPr>
                <w:p w14:paraId="3573D992" w14:textId="77777777" w:rsidR="00C4668B" w:rsidRPr="00C4668B" w:rsidRDefault="00C4668B" w:rsidP="00C4668B">
                  <w:pPr>
                    <w:rPr>
                      <w:b/>
                      <w:i/>
                      <w:sz w:val="22"/>
                      <w:szCs w:val="22"/>
                      <w:highlight w:val="yellow"/>
                    </w:rPr>
                  </w:pPr>
                  <w:r w:rsidRPr="00C4668B">
                    <w:rPr>
                      <w:b/>
                      <w:i/>
                      <w:sz w:val="22"/>
                      <w:szCs w:val="22"/>
                      <w:highlight w:val="yellow"/>
                    </w:rPr>
                    <w:t>Exceptions</w:t>
                  </w:r>
                  <w:r w:rsidRPr="00C4668B">
                    <w:rPr>
                      <w:rStyle w:val="FootnoteReference"/>
                      <w:b/>
                      <w:i/>
                      <w:sz w:val="22"/>
                      <w:szCs w:val="22"/>
                      <w:highlight w:val="yellow"/>
                    </w:rPr>
                    <w:footnoteReference w:id="3"/>
                  </w:r>
                </w:p>
              </w:tc>
            </w:tr>
            <w:tr w:rsidR="00C4668B" w:rsidRPr="00C4668B" w14:paraId="54B41432" w14:textId="77777777" w:rsidTr="00C20A7C">
              <w:trPr>
                <w:trHeight w:val="506"/>
              </w:trPr>
              <w:tc>
                <w:tcPr>
                  <w:tcW w:w="4059" w:type="dxa"/>
                </w:tcPr>
                <w:p w14:paraId="00E96693" w14:textId="77777777" w:rsidR="00C4668B" w:rsidRPr="00C4668B" w:rsidRDefault="00C4668B" w:rsidP="00C4668B">
                  <w:pPr>
                    <w:pStyle w:val="P68B1DB1-Normal10"/>
                    <w:rPr>
                      <w:rFonts w:ascii="Times New Roman" w:hAnsi="Times New Roman" w:cs="Times New Roman"/>
                      <w:b w:val="0"/>
                      <w:bCs/>
                      <w:i/>
                      <w:iCs/>
                      <w:sz w:val="22"/>
                      <w:szCs w:val="22"/>
                      <w:highlight w:val="yellow"/>
                    </w:rPr>
                  </w:pPr>
                  <w:r w:rsidRPr="00C4668B">
                    <w:rPr>
                      <w:rFonts w:ascii="Times New Roman" w:hAnsi="Times New Roman" w:cs="Times New Roman"/>
                      <w:i/>
                      <w:iCs/>
                      <w:sz w:val="22"/>
                      <w:szCs w:val="22"/>
                      <w:highlight w:val="yellow"/>
                    </w:rPr>
                    <w:t xml:space="preserve">IVCDCI — </w:t>
                  </w:r>
                  <w:r w:rsidRPr="00C4668B">
                    <w:rPr>
                      <w:rFonts w:ascii="Times New Roman" w:hAnsi="Times New Roman" w:cs="Times New Roman"/>
                      <w:b w:val="0"/>
                      <w:bCs/>
                      <w:i/>
                      <w:iCs/>
                      <w:sz w:val="22"/>
                      <w:szCs w:val="22"/>
                      <w:highlight w:val="yellow"/>
                    </w:rPr>
                    <w:t xml:space="preserve">L’Europe dans le monde </w:t>
                  </w:r>
                </w:p>
                <w:p w14:paraId="1510C92E" w14:textId="77777777" w:rsidR="00C4668B" w:rsidRPr="00C4668B" w:rsidRDefault="00C4668B" w:rsidP="00C4668B">
                  <w:pPr>
                    <w:pStyle w:val="P68B1DB1-Normal10"/>
                    <w:rPr>
                      <w:rFonts w:ascii="Times New Roman" w:hAnsi="Times New Roman" w:cs="Times New Roman"/>
                      <w:i/>
                      <w:iCs/>
                      <w:sz w:val="22"/>
                      <w:szCs w:val="22"/>
                      <w:highlight w:val="yellow"/>
                    </w:rPr>
                  </w:pPr>
                  <w:r w:rsidRPr="00C4668B">
                    <w:rPr>
                      <w:rFonts w:ascii="Times New Roman" w:hAnsi="Times New Roman" w:cs="Times New Roman"/>
                      <w:b w:val="0"/>
                      <w:bCs/>
                      <w:i/>
                      <w:iCs/>
                      <w:sz w:val="22"/>
                      <w:szCs w:val="22"/>
                      <w:highlight w:val="yellow"/>
                    </w:rPr>
                    <w:t>a)</w:t>
                  </w:r>
                  <w:r w:rsidRPr="00C4668B">
                    <w:rPr>
                      <w:rFonts w:ascii="Times New Roman" w:hAnsi="Times New Roman" w:cs="Times New Roman"/>
                      <w:i/>
                      <w:iCs/>
                      <w:sz w:val="22"/>
                      <w:szCs w:val="22"/>
                      <w:highlight w:val="yellow"/>
                    </w:rPr>
                    <w:t xml:space="preserve"> programmes géographiques</w:t>
                  </w:r>
                </w:p>
                <w:p w14:paraId="4002B0E5" w14:textId="77777777" w:rsidR="00C4668B" w:rsidRPr="00C4668B" w:rsidRDefault="00C4668B" w:rsidP="00C4668B">
                  <w:pPr>
                    <w:rPr>
                      <w:b/>
                      <w:i/>
                      <w:iCs/>
                      <w:sz w:val="22"/>
                      <w:szCs w:val="22"/>
                      <w:highlight w:val="yellow"/>
                    </w:rPr>
                  </w:pPr>
                </w:p>
              </w:tc>
              <w:tc>
                <w:tcPr>
                  <w:tcW w:w="2127" w:type="dxa"/>
                </w:tcPr>
                <w:p w14:paraId="42491599" w14:textId="77777777" w:rsidR="00C4668B" w:rsidRPr="00C4668B" w:rsidRDefault="00C4668B" w:rsidP="00C4668B">
                  <w:pPr>
                    <w:pStyle w:val="P68B1DB1-Normal10"/>
                    <w:rPr>
                      <w:rFonts w:ascii="Times New Roman" w:hAnsi="Times New Roman" w:cs="Times New Roman"/>
                      <w:b w:val="0"/>
                      <w:bCs/>
                      <w:i/>
                      <w:iCs/>
                      <w:sz w:val="22"/>
                      <w:szCs w:val="22"/>
                      <w:highlight w:val="yellow"/>
                    </w:rPr>
                  </w:pPr>
                  <w:r w:rsidRPr="00C4668B">
                    <w:rPr>
                      <w:rFonts w:ascii="Times New Roman" w:hAnsi="Times New Roman" w:cs="Times New Roman"/>
                      <w:b w:val="0"/>
                      <w:bCs/>
                      <w:i/>
                      <w:iCs/>
                      <w:sz w:val="22"/>
                      <w:szCs w:val="22"/>
                      <w:highlight w:val="yellow"/>
                    </w:rPr>
                    <w:t>L’Argentine et le Royaume-Uni ne sont pas éligibles</w:t>
                  </w:r>
                </w:p>
              </w:tc>
              <w:tc>
                <w:tcPr>
                  <w:tcW w:w="2799" w:type="dxa"/>
                  <w:vMerge w:val="restart"/>
                </w:tcPr>
                <w:p w14:paraId="08CE6CFF" w14:textId="77777777" w:rsidR="00C4668B" w:rsidRDefault="00C4668B" w:rsidP="00C4668B">
                  <w:pPr>
                    <w:rPr>
                      <w:i/>
                      <w:iCs/>
                      <w:sz w:val="22"/>
                      <w:szCs w:val="22"/>
                      <w:highlight w:val="yellow"/>
                      <w:lang w:val="fr-FR"/>
                    </w:rPr>
                  </w:pPr>
                  <w:r w:rsidRPr="00C4668B">
                    <w:rPr>
                      <w:i/>
                      <w:iCs/>
                      <w:sz w:val="22"/>
                      <w:szCs w:val="22"/>
                      <w:highlight w:val="yellow"/>
                      <w:lang w:val="fr-FR"/>
                    </w:rPr>
                    <w:t>L’</w:t>
                  </w:r>
                  <w:r w:rsidRPr="00C4668B">
                    <w:rPr>
                      <w:b/>
                      <w:bCs/>
                      <w:i/>
                      <w:iCs/>
                      <w:sz w:val="22"/>
                      <w:szCs w:val="22"/>
                      <w:highlight w:val="yellow"/>
                      <w:lang w:val="fr-FR"/>
                    </w:rPr>
                    <w:t>Argentine</w:t>
                  </w:r>
                  <w:r w:rsidRPr="00C4668B">
                    <w:rPr>
                      <w:i/>
                      <w:iCs/>
                      <w:sz w:val="22"/>
                      <w:szCs w:val="22"/>
                      <w:highlight w:val="yellow"/>
                      <w:lang w:val="fr-FR"/>
                    </w:rPr>
                    <w:t xml:space="preserve"> est éligible si ce pays participe à l’action faisant l’objet de l’audit et/ou de la vérification en tant que donateur apportant un cofinancement ou si le pays lui-même participe en tant que bénéficiaire de la même action.</w:t>
                  </w:r>
                </w:p>
                <w:p w14:paraId="54B7D443" w14:textId="77777777" w:rsidR="00EA2B56" w:rsidRPr="00C4668B" w:rsidRDefault="00EA2B56" w:rsidP="00C4668B">
                  <w:pPr>
                    <w:rPr>
                      <w:i/>
                      <w:iCs/>
                      <w:sz w:val="22"/>
                      <w:szCs w:val="22"/>
                      <w:highlight w:val="yellow"/>
                      <w:lang w:val="fr-FR"/>
                    </w:rPr>
                  </w:pPr>
                </w:p>
                <w:p w14:paraId="72382104" w14:textId="77777777" w:rsidR="00C4668B" w:rsidRDefault="00C4668B" w:rsidP="00C4668B">
                  <w:pPr>
                    <w:rPr>
                      <w:i/>
                      <w:sz w:val="22"/>
                      <w:szCs w:val="22"/>
                      <w:highlight w:val="yellow"/>
                    </w:rPr>
                  </w:pPr>
                  <w:r w:rsidRPr="00C4668B">
                    <w:rPr>
                      <w:i/>
                      <w:iCs/>
                      <w:sz w:val="22"/>
                      <w:szCs w:val="22"/>
                      <w:highlight w:val="yellow"/>
                    </w:rPr>
                    <w:t xml:space="preserve">Le </w:t>
                  </w:r>
                  <w:r w:rsidRPr="00C4668B">
                    <w:rPr>
                      <w:b/>
                      <w:i/>
                      <w:sz w:val="22"/>
                      <w:szCs w:val="22"/>
                      <w:highlight w:val="yellow"/>
                    </w:rPr>
                    <w:t>Royaume-Uni</w:t>
                  </w:r>
                  <w:r w:rsidRPr="00C4668B">
                    <w:rPr>
                      <w:i/>
                      <w:sz w:val="22"/>
                      <w:szCs w:val="22"/>
                      <w:highlight w:val="yellow"/>
                    </w:rPr>
                    <w:t xml:space="preserve"> est éligible si le contrat faisant l’objet de l’audit et/ou de la vérification est exclusivement mis en œuvre dans un </w:t>
                  </w:r>
                  <w:r w:rsidRPr="00C4668B">
                    <w:rPr>
                      <w:b/>
                      <w:i/>
                      <w:sz w:val="22"/>
                      <w:szCs w:val="22"/>
                      <w:highlight w:val="yellow"/>
                    </w:rPr>
                    <w:t>PMA</w:t>
                  </w:r>
                  <w:r w:rsidRPr="00C4668B">
                    <w:rPr>
                      <w:i/>
                      <w:sz w:val="22"/>
                      <w:szCs w:val="22"/>
                      <w:highlight w:val="yellow"/>
                    </w:rPr>
                    <w:t xml:space="preserve"> (</w:t>
                  </w:r>
                  <w:r w:rsidRPr="00C4668B">
                    <w:rPr>
                      <w:sz w:val="22"/>
                      <w:szCs w:val="22"/>
                      <w:highlight w:val="yellow"/>
                    </w:rPr>
                    <w:t>pays les moins</w:t>
                  </w:r>
                  <w:r w:rsidRPr="00C4668B">
                    <w:rPr>
                      <w:i/>
                      <w:sz w:val="22"/>
                      <w:szCs w:val="22"/>
                      <w:highlight w:val="yellow"/>
                    </w:rPr>
                    <w:t xml:space="preserve"> avancés</w:t>
                  </w:r>
                  <w:r w:rsidRPr="00C4668B">
                    <w:rPr>
                      <w:rStyle w:val="FootnoteReference"/>
                      <w:i/>
                      <w:sz w:val="22"/>
                      <w:szCs w:val="22"/>
                      <w:highlight w:val="yellow"/>
                    </w:rPr>
                    <w:footnoteReference w:id="4"/>
                  </w:r>
                  <w:r w:rsidRPr="00C4668B">
                    <w:rPr>
                      <w:i/>
                      <w:sz w:val="22"/>
                      <w:szCs w:val="22"/>
                      <w:highlight w:val="yellow"/>
                    </w:rPr>
                    <w:t xml:space="preserve">) ou dans un </w:t>
                  </w:r>
                  <w:r w:rsidRPr="00C4668B">
                    <w:rPr>
                      <w:b/>
                      <w:i/>
                      <w:sz w:val="22"/>
                      <w:szCs w:val="22"/>
                      <w:highlight w:val="yellow"/>
                    </w:rPr>
                    <w:t>PPTE</w:t>
                  </w:r>
                  <w:r w:rsidRPr="00C4668B">
                    <w:rPr>
                      <w:i/>
                      <w:sz w:val="22"/>
                      <w:szCs w:val="22"/>
                      <w:highlight w:val="yellow"/>
                    </w:rPr>
                    <w:t xml:space="preserve"> (pays pauvres très endettés)</w:t>
                  </w:r>
                  <w:r w:rsidRPr="00C4668B">
                    <w:rPr>
                      <w:rStyle w:val="FootnoteReference"/>
                      <w:i/>
                      <w:sz w:val="22"/>
                      <w:szCs w:val="22"/>
                      <w:highlight w:val="yellow"/>
                    </w:rPr>
                    <w:footnoteReference w:id="5"/>
                  </w:r>
                  <w:r w:rsidRPr="00C4668B">
                    <w:rPr>
                      <w:i/>
                      <w:sz w:val="22"/>
                      <w:szCs w:val="22"/>
                      <w:highlight w:val="yellow"/>
                    </w:rPr>
                    <w:t>,</w:t>
                  </w:r>
                </w:p>
                <w:p w14:paraId="42F01D89" w14:textId="77777777" w:rsidR="00EA2B56" w:rsidRPr="00C4668B" w:rsidRDefault="00EA2B56" w:rsidP="00C4668B">
                  <w:pPr>
                    <w:rPr>
                      <w:i/>
                      <w:sz w:val="22"/>
                      <w:szCs w:val="22"/>
                      <w:highlight w:val="yellow"/>
                    </w:rPr>
                  </w:pPr>
                </w:p>
                <w:p w14:paraId="6E578100" w14:textId="2844FDA6" w:rsidR="00C4668B" w:rsidRPr="00EA2B56" w:rsidRDefault="00EA2B56" w:rsidP="00C4668B">
                  <w:pPr>
                    <w:pStyle w:val="P68B1DB1-Normal10"/>
                    <w:rPr>
                      <w:rFonts w:ascii="Times New Roman" w:hAnsi="Times New Roman" w:cs="Times New Roman"/>
                      <w:b w:val="0"/>
                      <w:bCs/>
                      <w:i/>
                      <w:iCs/>
                      <w:sz w:val="22"/>
                      <w:szCs w:val="22"/>
                      <w:highlight w:val="yellow"/>
                    </w:rPr>
                  </w:pPr>
                  <w:proofErr w:type="gramStart"/>
                  <w:r w:rsidRPr="00EA2B56">
                    <w:rPr>
                      <w:rFonts w:ascii="Times New Roman" w:hAnsi="Times New Roman" w:cs="Times New Roman"/>
                      <w:b w:val="0"/>
                      <w:bCs/>
                      <w:i/>
                      <w:iCs/>
                      <w:sz w:val="22"/>
                      <w:szCs w:val="22"/>
                      <w:highlight w:val="yellow"/>
                    </w:rPr>
                    <w:t>o</w:t>
                  </w:r>
                  <w:r w:rsidR="00C4668B" w:rsidRPr="00EA2B56">
                    <w:rPr>
                      <w:rFonts w:ascii="Times New Roman" w:hAnsi="Times New Roman" w:cs="Times New Roman"/>
                      <w:b w:val="0"/>
                      <w:bCs/>
                      <w:i/>
                      <w:iCs/>
                      <w:sz w:val="22"/>
                      <w:szCs w:val="22"/>
                      <w:highlight w:val="yellow"/>
                    </w:rPr>
                    <w:t>u</w:t>
                  </w:r>
                  <w:proofErr w:type="gramEnd"/>
                </w:p>
                <w:p w14:paraId="5FE54800" w14:textId="77777777" w:rsidR="00EA2B56" w:rsidRPr="00EA2B56" w:rsidRDefault="00EA2B56" w:rsidP="00C4668B">
                  <w:pPr>
                    <w:pStyle w:val="P68B1DB1-Normal10"/>
                    <w:rPr>
                      <w:rFonts w:ascii="Times New Roman" w:hAnsi="Times New Roman" w:cs="Times New Roman"/>
                      <w:b w:val="0"/>
                      <w:bCs/>
                      <w:i/>
                      <w:iCs/>
                      <w:sz w:val="22"/>
                      <w:szCs w:val="22"/>
                      <w:highlight w:val="yellow"/>
                    </w:rPr>
                  </w:pPr>
                </w:p>
                <w:p w14:paraId="2DFCC23B" w14:textId="77777777" w:rsidR="00C4668B" w:rsidRPr="00EA2B56" w:rsidRDefault="00C4668B" w:rsidP="00C4668B">
                  <w:pPr>
                    <w:pStyle w:val="P68B1DB1-Normal10"/>
                    <w:rPr>
                      <w:rFonts w:ascii="Times New Roman" w:hAnsi="Times New Roman" w:cs="Times New Roman"/>
                      <w:b w:val="0"/>
                      <w:bCs/>
                      <w:sz w:val="22"/>
                      <w:szCs w:val="22"/>
                    </w:rPr>
                  </w:pPr>
                  <w:r w:rsidRPr="00EA2B56">
                    <w:rPr>
                      <w:rFonts w:ascii="Times New Roman" w:hAnsi="Times New Roman" w:cs="Times New Roman"/>
                      <w:b w:val="0"/>
                      <w:bCs/>
                      <w:i/>
                      <w:iCs/>
                      <w:sz w:val="22"/>
                      <w:szCs w:val="22"/>
                      <w:highlight w:val="yellow"/>
                    </w:rPr>
                    <w:t xml:space="preserve">Si le </w:t>
                  </w:r>
                  <w:r w:rsidRPr="00EA2B56">
                    <w:rPr>
                      <w:rFonts w:ascii="Times New Roman" w:hAnsi="Times New Roman" w:cs="Times New Roman"/>
                      <w:i/>
                      <w:iCs/>
                      <w:sz w:val="22"/>
                      <w:szCs w:val="22"/>
                      <w:highlight w:val="yellow"/>
                    </w:rPr>
                    <w:t>Royaume-Uni</w:t>
                  </w:r>
                  <w:r w:rsidRPr="00EA2B56">
                    <w:rPr>
                      <w:rFonts w:ascii="Times New Roman" w:hAnsi="Times New Roman" w:cs="Times New Roman"/>
                      <w:b w:val="0"/>
                      <w:bCs/>
                      <w:i/>
                      <w:iCs/>
                      <w:sz w:val="22"/>
                      <w:szCs w:val="22"/>
                      <w:highlight w:val="yellow"/>
                    </w:rPr>
                    <w:t xml:space="preserve"> participe à l’action faisant l’objet l’audit et/ou la</w:t>
                  </w:r>
                  <w:r w:rsidRPr="00EA2B56">
                    <w:rPr>
                      <w:rFonts w:ascii="Times New Roman" w:hAnsi="Times New Roman" w:cs="Times New Roman"/>
                      <w:sz w:val="22"/>
                      <w:szCs w:val="22"/>
                      <w:highlight w:val="yellow"/>
                    </w:rPr>
                    <w:t xml:space="preserve"> </w:t>
                  </w:r>
                  <w:r w:rsidRPr="00EA2B56">
                    <w:rPr>
                      <w:rFonts w:ascii="Times New Roman" w:hAnsi="Times New Roman" w:cs="Times New Roman"/>
                      <w:b w:val="0"/>
                      <w:bCs/>
                      <w:i/>
                      <w:iCs/>
                      <w:sz w:val="22"/>
                      <w:szCs w:val="22"/>
                      <w:highlight w:val="yellow"/>
                    </w:rPr>
                    <w:t xml:space="preserve">vérification </w:t>
                  </w:r>
                  <w:r w:rsidRPr="00EA2B56">
                    <w:rPr>
                      <w:rFonts w:ascii="Times New Roman" w:hAnsi="Times New Roman" w:cs="Times New Roman"/>
                      <w:b w:val="0"/>
                      <w:bCs/>
                      <w:i/>
                      <w:iCs/>
                      <w:sz w:val="22"/>
                      <w:szCs w:val="22"/>
                      <w:highlight w:val="yellow"/>
                    </w:rPr>
                    <w:lastRenderedPageBreak/>
                    <w:t xml:space="preserve">en tant que </w:t>
                  </w:r>
                  <w:r w:rsidRPr="00EA2B56">
                    <w:rPr>
                      <w:rFonts w:ascii="Times New Roman" w:hAnsi="Times New Roman" w:cs="Times New Roman"/>
                      <w:b w:val="0"/>
                      <w:bCs/>
                      <w:i/>
                      <w:iCs/>
                      <w:sz w:val="22"/>
                      <w:szCs w:val="22"/>
                      <w:highlight w:val="yellow"/>
                      <w:lang w:val="fr-FR"/>
                    </w:rPr>
                    <w:t xml:space="preserve">donateur apportant un cofinancement </w:t>
                  </w:r>
                  <w:r w:rsidRPr="00EA2B56">
                    <w:rPr>
                      <w:rFonts w:ascii="Times New Roman" w:hAnsi="Times New Roman" w:cs="Times New Roman"/>
                      <w:b w:val="0"/>
                      <w:bCs/>
                      <w:i/>
                      <w:iCs/>
                      <w:sz w:val="22"/>
                      <w:szCs w:val="22"/>
                      <w:highlight w:val="yellow"/>
                    </w:rPr>
                    <w:t>et/ou lorsque le pays participe lui-même en tant que bénéficiaire de la même action</w:t>
                  </w:r>
                </w:p>
              </w:tc>
            </w:tr>
            <w:tr w:rsidR="00C4668B" w:rsidRPr="00C4668B" w14:paraId="02FAF283" w14:textId="77777777" w:rsidTr="00C20A7C">
              <w:trPr>
                <w:trHeight w:val="522"/>
              </w:trPr>
              <w:tc>
                <w:tcPr>
                  <w:tcW w:w="4059" w:type="dxa"/>
                </w:tcPr>
                <w:p w14:paraId="1B7795F0" w14:textId="77777777" w:rsidR="00C4668B" w:rsidRPr="00C4668B" w:rsidRDefault="00C4668B" w:rsidP="00C4668B">
                  <w:pPr>
                    <w:pStyle w:val="P68B1DB1-Normal10"/>
                    <w:rPr>
                      <w:rFonts w:ascii="Times New Roman" w:hAnsi="Times New Roman" w:cs="Times New Roman"/>
                      <w:i/>
                      <w:iCs/>
                      <w:sz w:val="22"/>
                      <w:szCs w:val="22"/>
                      <w:highlight w:val="yellow"/>
                    </w:rPr>
                  </w:pPr>
                  <w:r w:rsidRPr="00C4668B">
                    <w:rPr>
                      <w:rFonts w:ascii="Times New Roman" w:hAnsi="Times New Roman" w:cs="Times New Roman"/>
                      <w:i/>
                      <w:iCs/>
                      <w:sz w:val="22"/>
                      <w:szCs w:val="22"/>
                      <w:highlight w:val="yellow"/>
                    </w:rPr>
                    <w:t xml:space="preserve">IVCDCI — L’Europe </w:t>
                  </w:r>
                  <w:r w:rsidRPr="00C4668B">
                    <w:rPr>
                      <w:rFonts w:ascii="Times New Roman" w:hAnsi="Times New Roman" w:cs="Times New Roman"/>
                      <w:b w:val="0"/>
                      <w:bCs/>
                      <w:i/>
                      <w:iCs/>
                      <w:sz w:val="22"/>
                      <w:szCs w:val="22"/>
                      <w:highlight w:val="yellow"/>
                    </w:rPr>
                    <w:t>dans le monde</w:t>
                  </w:r>
                  <w:r w:rsidRPr="00C4668B">
                    <w:rPr>
                      <w:rFonts w:ascii="Times New Roman" w:hAnsi="Times New Roman" w:cs="Times New Roman"/>
                      <w:i/>
                      <w:iCs/>
                      <w:sz w:val="22"/>
                      <w:szCs w:val="22"/>
                      <w:highlight w:val="yellow"/>
                    </w:rPr>
                    <w:t xml:space="preserve"> </w:t>
                  </w:r>
                </w:p>
                <w:p w14:paraId="55BFCE82" w14:textId="77777777" w:rsidR="00C4668B" w:rsidRPr="00C4668B" w:rsidRDefault="00C4668B" w:rsidP="00C4668B">
                  <w:pPr>
                    <w:pStyle w:val="P68B1DB1-Normal10"/>
                    <w:rPr>
                      <w:rFonts w:ascii="Times New Roman" w:hAnsi="Times New Roman" w:cs="Times New Roman"/>
                      <w:i/>
                      <w:iCs/>
                      <w:sz w:val="22"/>
                      <w:szCs w:val="22"/>
                      <w:highlight w:val="yellow"/>
                    </w:rPr>
                  </w:pPr>
                  <w:r w:rsidRPr="00C4668B">
                    <w:rPr>
                      <w:rFonts w:ascii="Times New Roman" w:hAnsi="Times New Roman" w:cs="Times New Roman"/>
                      <w:b w:val="0"/>
                      <w:bCs/>
                      <w:i/>
                      <w:iCs/>
                      <w:sz w:val="22"/>
                      <w:szCs w:val="22"/>
                      <w:highlight w:val="yellow"/>
                    </w:rPr>
                    <w:t>b) le</w:t>
                  </w:r>
                  <w:r w:rsidRPr="00C4668B">
                    <w:rPr>
                      <w:rFonts w:ascii="Times New Roman" w:hAnsi="Times New Roman" w:cs="Times New Roman"/>
                      <w:i/>
                      <w:iCs/>
                      <w:sz w:val="22"/>
                      <w:szCs w:val="22"/>
                      <w:highlight w:val="yellow"/>
                    </w:rPr>
                    <w:t xml:space="preserve"> programme thématique des organisations de la société civile </w:t>
                  </w:r>
                </w:p>
                <w:p w14:paraId="3A624584" w14:textId="77777777" w:rsidR="00C4668B" w:rsidRPr="00C4668B" w:rsidRDefault="00C4668B" w:rsidP="00C4668B">
                  <w:pPr>
                    <w:rPr>
                      <w:b/>
                      <w:i/>
                      <w:iCs/>
                      <w:sz w:val="22"/>
                      <w:szCs w:val="22"/>
                      <w:highlight w:val="yellow"/>
                    </w:rPr>
                  </w:pPr>
                </w:p>
              </w:tc>
              <w:tc>
                <w:tcPr>
                  <w:tcW w:w="2127" w:type="dxa"/>
                </w:tcPr>
                <w:p w14:paraId="6711AF32" w14:textId="77777777" w:rsidR="00C4668B" w:rsidRPr="00C4668B" w:rsidRDefault="00C4668B" w:rsidP="00C4668B">
                  <w:pPr>
                    <w:pStyle w:val="P68B1DB1-Normal10"/>
                    <w:rPr>
                      <w:rFonts w:ascii="Times New Roman" w:hAnsi="Times New Roman" w:cs="Times New Roman"/>
                      <w:b w:val="0"/>
                      <w:bCs/>
                      <w:i/>
                      <w:iCs/>
                      <w:sz w:val="22"/>
                      <w:szCs w:val="22"/>
                      <w:highlight w:val="yellow"/>
                    </w:rPr>
                  </w:pPr>
                  <w:bookmarkStart w:id="5" w:name="_Hlk161075315"/>
                  <w:r w:rsidRPr="00C4668B">
                    <w:rPr>
                      <w:rFonts w:ascii="Times New Roman" w:hAnsi="Times New Roman" w:cs="Times New Roman"/>
                      <w:b w:val="0"/>
                      <w:bCs/>
                      <w:i/>
                      <w:iCs/>
                      <w:sz w:val="22"/>
                      <w:szCs w:val="22"/>
                      <w:highlight w:val="yellow"/>
                    </w:rPr>
                    <w:t>L’Argentine et le Royaume-Uni ne sont pas éligibles</w:t>
                  </w:r>
                  <w:bookmarkEnd w:id="5"/>
                </w:p>
              </w:tc>
              <w:tc>
                <w:tcPr>
                  <w:tcW w:w="2799" w:type="dxa"/>
                  <w:vMerge/>
                </w:tcPr>
                <w:p w14:paraId="2C7AEDA1" w14:textId="77777777" w:rsidR="00C4668B" w:rsidRPr="00C4668B" w:rsidRDefault="00C4668B" w:rsidP="00C4668B">
                  <w:pPr>
                    <w:rPr>
                      <w:i/>
                      <w:highlight w:val="yellow"/>
                    </w:rPr>
                  </w:pPr>
                </w:p>
              </w:tc>
            </w:tr>
            <w:tr w:rsidR="00C4668B" w:rsidRPr="00C4668B" w14:paraId="3DF9FFF0" w14:textId="77777777" w:rsidTr="00C20A7C">
              <w:trPr>
                <w:trHeight w:val="132"/>
              </w:trPr>
              <w:tc>
                <w:tcPr>
                  <w:tcW w:w="4059" w:type="dxa"/>
                </w:tcPr>
                <w:p w14:paraId="703647D4" w14:textId="77777777" w:rsidR="00C4668B" w:rsidRPr="00C4668B" w:rsidRDefault="00C4668B" w:rsidP="00C4668B">
                  <w:pPr>
                    <w:pStyle w:val="P68B1DB1-Normal10"/>
                    <w:ind w:hanging="79"/>
                    <w:rPr>
                      <w:rFonts w:ascii="Times New Roman" w:hAnsi="Times New Roman" w:cs="Times New Roman"/>
                      <w:i/>
                      <w:iCs/>
                      <w:sz w:val="22"/>
                      <w:szCs w:val="22"/>
                      <w:highlight w:val="yellow"/>
                    </w:rPr>
                  </w:pPr>
                  <w:r w:rsidRPr="00C4668B">
                    <w:rPr>
                      <w:rFonts w:ascii="Times New Roman" w:hAnsi="Times New Roman" w:cs="Times New Roman"/>
                      <w:i/>
                      <w:iCs/>
                      <w:sz w:val="22"/>
                      <w:szCs w:val="22"/>
                      <w:highlight w:val="yellow"/>
                    </w:rPr>
                    <w:t xml:space="preserve">IVCDCI — L’Europe </w:t>
                  </w:r>
                  <w:r w:rsidRPr="00C4668B">
                    <w:rPr>
                      <w:rFonts w:ascii="Times New Roman" w:hAnsi="Times New Roman" w:cs="Times New Roman"/>
                      <w:b w:val="0"/>
                      <w:bCs/>
                      <w:i/>
                      <w:iCs/>
                      <w:sz w:val="22"/>
                      <w:szCs w:val="22"/>
                      <w:highlight w:val="yellow"/>
                    </w:rPr>
                    <w:t>dans le monde</w:t>
                  </w:r>
                  <w:r w:rsidRPr="00C4668B">
                    <w:rPr>
                      <w:rFonts w:ascii="Times New Roman" w:hAnsi="Times New Roman" w:cs="Times New Roman"/>
                      <w:i/>
                      <w:iCs/>
                      <w:sz w:val="22"/>
                      <w:szCs w:val="22"/>
                      <w:highlight w:val="yellow"/>
                    </w:rPr>
                    <w:t xml:space="preserve"> </w:t>
                  </w:r>
                </w:p>
                <w:p w14:paraId="6D6E91B7" w14:textId="77777777" w:rsidR="00C4668B" w:rsidRPr="00C4668B" w:rsidRDefault="00C4668B" w:rsidP="00C4668B">
                  <w:pPr>
                    <w:pStyle w:val="P68B1DB1-Normal10"/>
                    <w:rPr>
                      <w:rFonts w:ascii="Times New Roman" w:hAnsi="Times New Roman" w:cs="Times New Roman"/>
                      <w:i/>
                      <w:iCs/>
                      <w:sz w:val="22"/>
                      <w:szCs w:val="22"/>
                      <w:highlight w:val="yellow"/>
                    </w:rPr>
                  </w:pPr>
                  <w:proofErr w:type="gramStart"/>
                  <w:r w:rsidRPr="00C4668B">
                    <w:rPr>
                      <w:rFonts w:ascii="Times New Roman" w:hAnsi="Times New Roman" w:cs="Times New Roman"/>
                      <w:i/>
                      <w:iCs/>
                      <w:sz w:val="22"/>
                      <w:szCs w:val="22"/>
                      <w:highlight w:val="yellow"/>
                    </w:rPr>
                    <w:t>programme</w:t>
                  </w:r>
                  <w:proofErr w:type="gramEnd"/>
                  <w:r w:rsidRPr="00C4668B">
                    <w:rPr>
                      <w:rFonts w:ascii="Times New Roman" w:hAnsi="Times New Roman" w:cs="Times New Roman"/>
                      <w:i/>
                      <w:iCs/>
                      <w:sz w:val="22"/>
                      <w:szCs w:val="22"/>
                      <w:highlight w:val="yellow"/>
                    </w:rPr>
                    <w:t xml:space="preserve"> thématique «Défis mondiaux»)</w:t>
                  </w:r>
                </w:p>
                <w:p w14:paraId="45D91A6F" w14:textId="77777777" w:rsidR="00C4668B" w:rsidRPr="00C4668B" w:rsidRDefault="00C4668B" w:rsidP="00C4668B">
                  <w:pPr>
                    <w:ind w:hanging="79"/>
                    <w:rPr>
                      <w:b/>
                      <w:i/>
                      <w:iCs/>
                      <w:sz w:val="22"/>
                      <w:szCs w:val="22"/>
                      <w:highlight w:val="yellow"/>
                    </w:rPr>
                  </w:pPr>
                </w:p>
              </w:tc>
              <w:tc>
                <w:tcPr>
                  <w:tcW w:w="2127" w:type="dxa"/>
                </w:tcPr>
                <w:p w14:paraId="34D7DF07" w14:textId="77777777" w:rsidR="00C4668B" w:rsidRPr="00C4668B" w:rsidRDefault="00C4668B" w:rsidP="00C4668B">
                  <w:pPr>
                    <w:pStyle w:val="P68B1DB1-Normal10"/>
                    <w:ind w:hanging="105"/>
                    <w:rPr>
                      <w:rFonts w:ascii="Times New Roman" w:hAnsi="Times New Roman" w:cs="Times New Roman"/>
                      <w:b w:val="0"/>
                      <w:bCs/>
                      <w:i/>
                      <w:iCs/>
                      <w:sz w:val="22"/>
                      <w:szCs w:val="22"/>
                      <w:highlight w:val="yellow"/>
                    </w:rPr>
                  </w:pPr>
                  <w:r w:rsidRPr="00C4668B">
                    <w:rPr>
                      <w:rFonts w:ascii="Times New Roman" w:hAnsi="Times New Roman" w:cs="Times New Roman"/>
                      <w:b w:val="0"/>
                      <w:bCs/>
                      <w:i/>
                      <w:iCs/>
                      <w:sz w:val="22"/>
                      <w:szCs w:val="22"/>
                      <w:highlight w:val="yellow"/>
                    </w:rPr>
                    <w:t xml:space="preserve">  L’Argentine et le Royaume-Uni ne sont pas éligibles</w:t>
                  </w:r>
                </w:p>
              </w:tc>
              <w:tc>
                <w:tcPr>
                  <w:tcW w:w="2799" w:type="dxa"/>
                  <w:vMerge/>
                </w:tcPr>
                <w:p w14:paraId="5893ED0D" w14:textId="77777777" w:rsidR="00C4668B" w:rsidRPr="00C4668B" w:rsidRDefault="00C4668B" w:rsidP="00C4668B">
                  <w:pPr>
                    <w:ind w:hanging="105"/>
                    <w:rPr>
                      <w:i/>
                      <w:highlight w:val="yellow"/>
                    </w:rPr>
                  </w:pPr>
                </w:p>
              </w:tc>
            </w:tr>
            <w:tr w:rsidR="00C4668B" w:rsidRPr="00C4668B" w14:paraId="66C73A62" w14:textId="77777777" w:rsidTr="00C20A7C">
              <w:trPr>
                <w:trHeight w:val="132"/>
              </w:trPr>
              <w:tc>
                <w:tcPr>
                  <w:tcW w:w="4059" w:type="dxa"/>
                </w:tcPr>
                <w:p w14:paraId="3ADC6976" w14:textId="77777777" w:rsidR="00C4668B" w:rsidRPr="00C4668B" w:rsidRDefault="00C4668B" w:rsidP="00C4668B">
                  <w:pPr>
                    <w:pStyle w:val="P68B1DB1-Normal10"/>
                    <w:rPr>
                      <w:rFonts w:ascii="Times New Roman" w:hAnsi="Times New Roman" w:cs="Times New Roman"/>
                      <w:i/>
                      <w:iCs/>
                      <w:sz w:val="22"/>
                      <w:szCs w:val="22"/>
                      <w:highlight w:val="yellow"/>
                    </w:rPr>
                  </w:pPr>
                  <w:r w:rsidRPr="00C4668B">
                    <w:rPr>
                      <w:rFonts w:ascii="Times New Roman" w:hAnsi="Times New Roman" w:cs="Times New Roman"/>
                      <w:i/>
                      <w:iCs/>
                      <w:sz w:val="22"/>
                      <w:szCs w:val="22"/>
                      <w:highlight w:val="yellow"/>
                    </w:rPr>
                    <w:t xml:space="preserve">Décision d’association outre-mer Groenland (OAD-Groenland)  </w:t>
                  </w:r>
                </w:p>
                <w:p w14:paraId="34C6B473" w14:textId="77777777" w:rsidR="00C4668B" w:rsidRPr="00C4668B" w:rsidRDefault="00C4668B" w:rsidP="00C4668B">
                  <w:pPr>
                    <w:rPr>
                      <w:b/>
                      <w:i/>
                      <w:iCs/>
                      <w:sz w:val="22"/>
                      <w:szCs w:val="22"/>
                      <w:highlight w:val="yellow"/>
                    </w:rPr>
                  </w:pPr>
                </w:p>
              </w:tc>
              <w:tc>
                <w:tcPr>
                  <w:tcW w:w="2127" w:type="dxa"/>
                </w:tcPr>
                <w:p w14:paraId="46057EC9" w14:textId="77777777" w:rsidR="00C4668B" w:rsidRPr="00C4668B" w:rsidRDefault="00C4668B" w:rsidP="00C4668B">
                  <w:pPr>
                    <w:pStyle w:val="P68B1DB1-Normal10"/>
                    <w:rPr>
                      <w:rFonts w:ascii="Times New Roman" w:hAnsi="Times New Roman" w:cs="Times New Roman"/>
                      <w:b w:val="0"/>
                      <w:bCs/>
                      <w:i/>
                      <w:iCs/>
                      <w:sz w:val="22"/>
                      <w:szCs w:val="22"/>
                      <w:highlight w:val="yellow"/>
                    </w:rPr>
                  </w:pPr>
                  <w:r w:rsidRPr="00C4668B">
                    <w:rPr>
                      <w:rFonts w:ascii="Times New Roman" w:hAnsi="Times New Roman" w:cs="Times New Roman"/>
                      <w:b w:val="0"/>
                      <w:bCs/>
                      <w:i/>
                      <w:iCs/>
                      <w:sz w:val="22"/>
                      <w:szCs w:val="22"/>
                      <w:highlight w:val="yellow"/>
                    </w:rPr>
                    <w:t>L’Argentine et le Royaume-Uni ne sont pas éligibles</w:t>
                  </w:r>
                </w:p>
              </w:tc>
              <w:tc>
                <w:tcPr>
                  <w:tcW w:w="2799" w:type="dxa"/>
                  <w:vMerge/>
                </w:tcPr>
                <w:p w14:paraId="5BDDCB25" w14:textId="77777777" w:rsidR="00C4668B" w:rsidRPr="00C4668B" w:rsidRDefault="00C4668B" w:rsidP="00C4668B">
                  <w:pPr>
                    <w:rPr>
                      <w:i/>
                      <w:highlight w:val="yellow"/>
                    </w:rPr>
                  </w:pPr>
                </w:p>
              </w:tc>
            </w:tr>
            <w:tr w:rsidR="00C4668B" w:rsidRPr="00C4668B" w14:paraId="38DA1355" w14:textId="77777777" w:rsidTr="00C20A7C">
              <w:trPr>
                <w:trHeight w:val="132"/>
              </w:trPr>
              <w:tc>
                <w:tcPr>
                  <w:tcW w:w="4059" w:type="dxa"/>
                </w:tcPr>
                <w:p w14:paraId="0417A9AE" w14:textId="77777777" w:rsidR="00C4668B" w:rsidRPr="00C4668B" w:rsidRDefault="00C4668B" w:rsidP="00C4668B">
                  <w:pPr>
                    <w:pStyle w:val="P68B1DB1-Normal10"/>
                    <w:rPr>
                      <w:rFonts w:ascii="Times New Roman" w:hAnsi="Times New Roman" w:cs="Times New Roman"/>
                      <w:i/>
                      <w:iCs/>
                      <w:sz w:val="22"/>
                      <w:szCs w:val="22"/>
                      <w:highlight w:val="yellow"/>
                    </w:rPr>
                  </w:pPr>
                  <w:r w:rsidRPr="00C4668B">
                    <w:rPr>
                      <w:rFonts w:ascii="Times New Roman" w:hAnsi="Times New Roman" w:cs="Times New Roman"/>
                      <w:i/>
                      <w:iCs/>
                      <w:sz w:val="22"/>
                      <w:szCs w:val="22"/>
                      <w:highlight w:val="yellow"/>
                    </w:rPr>
                    <w:t xml:space="preserve"> Instrument européen en matière de sûreté nucléaire (ICSN).</w:t>
                  </w:r>
                </w:p>
              </w:tc>
              <w:tc>
                <w:tcPr>
                  <w:tcW w:w="2127" w:type="dxa"/>
                </w:tcPr>
                <w:p w14:paraId="1AD53727" w14:textId="77777777" w:rsidR="00C4668B" w:rsidRPr="00C4668B" w:rsidRDefault="00C4668B" w:rsidP="00C4668B">
                  <w:pPr>
                    <w:pStyle w:val="P68B1DB1-Normal10"/>
                    <w:rPr>
                      <w:rFonts w:ascii="Times New Roman" w:hAnsi="Times New Roman" w:cs="Times New Roman"/>
                      <w:b w:val="0"/>
                      <w:bCs/>
                      <w:i/>
                      <w:iCs/>
                      <w:sz w:val="22"/>
                      <w:szCs w:val="22"/>
                      <w:highlight w:val="yellow"/>
                    </w:rPr>
                  </w:pPr>
                  <w:r w:rsidRPr="00C4668B">
                    <w:rPr>
                      <w:rFonts w:ascii="Times New Roman" w:hAnsi="Times New Roman" w:cs="Times New Roman"/>
                      <w:b w:val="0"/>
                      <w:bCs/>
                      <w:i/>
                      <w:iCs/>
                      <w:sz w:val="22"/>
                      <w:szCs w:val="22"/>
                      <w:highlight w:val="yellow"/>
                    </w:rPr>
                    <w:t>L’Argentine et le Royaume-Uni ne sont pas éligibles</w:t>
                  </w:r>
                </w:p>
              </w:tc>
              <w:tc>
                <w:tcPr>
                  <w:tcW w:w="2799" w:type="dxa"/>
                  <w:vMerge/>
                </w:tcPr>
                <w:p w14:paraId="00B19CD4" w14:textId="77777777" w:rsidR="00C4668B" w:rsidRPr="00C4668B" w:rsidRDefault="00C4668B" w:rsidP="00C4668B">
                  <w:pPr>
                    <w:rPr>
                      <w:i/>
                      <w:highlight w:val="yellow"/>
                    </w:rPr>
                  </w:pPr>
                </w:p>
              </w:tc>
            </w:tr>
            <w:tr w:rsidR="00C4668B" w:rsidRPr="00C4668B" w14:paraId="680F6D56" w14:textId="77777777" w:rsidTr="00C20A7C">
              <w:trPr>
                <w:trHeight w:val="132"/>
              </w:trPr>
              <w:tc>
                <w:tcPr>
                  <w:tcW w:w="4059" w:type="dxa"/>
                </w:tcPr>
                <w:p w14:paraId="21248510" w14:textId="77777777" w:rsidR="00C4668B" w:rsidRPr="00EA2B56" w:rsidRDefault="00C4668B" w:rsidP="00C4668B">
                  <w:pPr>
                    <w:pStyle w:val="P68B1DB1-Normal10"/>
                    <w:rPr>
                      <w:rFonts w:ascii="Times New Roman" w:hAnsi="Times New Roman" w:cs="Times New Roman"/>
                      <w:i/>
                      <w:iCs/>
                      <w:sz w:val="22"/>
                      <w:szCs w:val="22"/>
                      <w:highlight w:val="yellow"/>
                    </w:rPr>
                  </w:pPr>
                  <w:r w:rsidRPr="00EA2B56">
                    <w:rPr>
                      <w:rFonts w:ascii="Times New Roman" w:hAnsi="Times New Roman" w:cs="Times New Roman"/>
                      <w:i/>
                      <w:iCs/>
                      <w:sz w:val="22"/>
                      <w:szCs w:val="22"/>
                      <w:highlight w:val="yellow"/>
                    </w:rPr>
                    <w:t xml:space="preserve">IVCDCI — Europe </w:t>
                  </w:r>
                  <w:r w:rsidRPr="00EA2B56">
                    <w:rPr>
                      <w:rFonts w:ascii="Times New Roman" w:hAnsi="Times New Roman" w:cs="Times New Roman"/>
                      <w:b w:val="0"/>
                      <w:bCs/>
                      <w:i/>
                      <w:iCs/>
                      <w:sz w:val="22"/>
                      <w:szCs w:val="22"/>
                      <w:highlight w:val="yellow"/>
                    </w:rPr>
                    <w:t>dans le monde (dans le cadre du</w:t>
                  </w:r>
                  <w:r w:rsidRPr="00EA2B56">
                    <w:rPr>
                      <w:rFonts w:ascii="Times New Roman" w:hAnsi="Times New Roman" w:cs="Times New Roman"/>
                      <w:i/>
                      <w:iCs/>
                      <w:sz w:val="22"/>
                      <w:szCs w:val="22"/>
                      <w:highlight w:val="yellow"/>
                    </w:rPr>
                    <w:t xml:space="preserve"> programme thématique « Droits de l’homme et </w:t>
                  </w:r>
                  <w:proofErr w:type="gramStart"/>
                  <w:r w:rsidRPr="00EA2B56">
                    <w:rPr>
                      <w:rFonts w:ascii="Times New Roman" w:hAnsi="Times New Roman" w:cs="Times New Roman"/>
                      <w:i/>
                      <w:iCs/>
                      <w:sz w:val="22"/>
                      <w:szCs w:val="22"/>
                      <w:highlight w:val="yellow"/>
                    </w:rPr>
                    <w:t>démocratie»</w:t>
                  </w:r>
                  <w:proofErr w:type="gramEnd"/>
                  <w:r w:rsidRPr="00EA2B56">
                    <w:rPr>
                      <w:rFonts w:ascii="Times New Roman" w:hAnsi="Times New Roman" w:cs="Times New Roman"/>
                      <w:i/>
                      <w:iCs/>
                      <w:sz w:val="22"/>
                      <w:szCs w:val="22"/>
                      <w:highlight w:val="yellow"/>
                    </w:rPr>
                    <w:t xml:space="preserve"> </w:t>
                  </w:r>
                  <w:r w:rsidRPr="00EA2B56">
                    <w:rPr>
                      <w:rFonts w:ascii="Times New Roman" w:hAnsi="Times New Roman" w:cs="Times New Roman"/>
                      <w:b w:val="0"/>
                      <w:bCs/>
                      <w:i/>
                      <w:iCs/>
                      <w:sz w:val="22"/>
                      <w:szCs w:val="22"/>
                      <w:highlight w:val="yellow"/>
                    </w:rPr>
                    <w:t xml:space="preserve">(y compris les missions d’observation électorale), </w:t>
                  </w:r>
                  <w:r w:rsidRPr="00EA2B56">
                    <w:rPr>
                      <w:rFonts w:ascii="Times New Roman" w:hAnsi="Times New Roman" w:cs="Times New Roman"/>
                      <w:i/>
                      <w:iCs/>
                      <w:sz w:val="22"/>
                      <w:szCs w:val="22"/>
                      <w:highlight w:val="yellow"/>
                    </w:rPr>
                    <w:t>programme thématique «Paix, stabilité et prévention des conflits», actions de réaction rapide</w:t>
                  </w:r>
                </w:p>
              </w:tc>
              <w:tc>
                <w:tcPr>
                  <w:tcW w:w="2127" w:type="dxa"/>
                </w:tcPr>
                <w:p w14:paraId="11118C4F"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Tous les pays sont éligibles</w:t>
                  </w:r>
                </w:p>
              </w:tc>
              <w:tc>
                <w:tcPr>
                  <w:tcW w:w="2799" w:type="dxa"/>
                </w:tcPr>
                <w:p w14:paraId="69406FD7"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w:t>
                  </w:r>
                </w:p>
              </w:tc>
            </w:tr>
            <w:tr w:rsidR="00C4668B" w:rsidRPr="00C4668B" w14:paraId="74214F98" w14:textId="77777777" w:rsidTr="00C20A7C">
              <w:trPr>
                <w:trHeight w:val="132"/>
              </w:trPr>
              <w:tc>
                <w:tcPr>
                  <w:tcW w:w="4059" w:type="dxa"/>
                </w:tcPr>
                <w:p w14:paraId="32E25B1A" w14:textId="77777777" w:rsidR="00C4668B" w:rsidRPr="00EA2B56" w:rsidRDefault="00C4668B" w:rsidP="00C4668B">
                  <w:pPr>
                    <w:pStyle w:val="P68B1DB1-Normal10"/>
                    <w:rPr>
                      <w:rFonts w:ascii="Times New Roman" w:hAnsi="Times New Roman" w:cs="Times New Roman"/>
                      <w:i/>
                      <w:iCs/>
                      <w:sz w:val="22"/>
                      <w:szCs w:val="22"/>
                      <w:highlight w:val="yellow"/>
                    </w:rPr>
                  </w:pPr>
                  <w:r w:rsidRPr="00EA2B56">
                    <w:rPr>
                      <w:rFonts w:ascii="Times New Roman" w:hAnsi="Times New Roman" w:cs="Times New Roman"/>
                      <w:b w:val="0"/>
                      <w:bCs/>
                      <w:i/>
                      <w:iCs/>
                      <w:sz w:val="22"/>
                      <w:szCs w:val="22"/>
                      <w:highlight w:val="yellow"/>
                    </w:rPr>
                    <w:t>Instrument d’aide de préadhésion</w:t>
                  </w:r>
                  <w:r w:rsidRPr="00EA2B56">
                    <w:rPr>
                      <w:rFonts w:ascii="Times New Roman" w:hAnsi="Times New Roman" w:cs="Times New Roman"/>
                      <w:i/>
                      <w:iCs/>
                      <w:sz w:val="22"/>
                      <w:szCs w:val="22"/>
                      <w:highlight w:val="yellow"/>
                    </w:rPr>
                    <w:t xml:space="preserve"> (IAP III)</w:t>
                  </w:r>
                </w:p>
              </w:tc>
              <w:tc>
                <w:tcPr>
                  <w:tcW w:w="2127" w:type="dxa"/>
                </w:tcPr>
                <w:p w14:paraId="30CDCCA3"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le Cameroun, le Kenya et le Royaume-Uni ne sont pas éligibles.</w:t>
                  </w:r>
                </w:p>
              </w:tc>
              <w:tc>
                <w:tcPr>
                  <w:tcW w:w="2799" w:type="dxa"/>
                </w:tcPr>
                <w:p w14:paraId="62305B09"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 — veuillez-vous référer à la note de bas de page 2.</w:t>
                  </w:r>
                </w:p>
              </w:tc>
            </w:tr>
            <w:tr w:rsidR="00C4668B" w:rsidRPr="00C4668B" w14:paraId="4838CDE8" w14:textId="77777777" w:rsidTr="00C20A7C">
              <w:trPr>
                <w:trHeight w:val="132"/>
              </w:trPr>
              <w:tc>
                <w:tcPr>
                  <w:tcW w:w="4059" w:type="dxa"/>
                </w:tcPr>
                <w:p w14:paraId="3CF76691"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 xml:space="preserve">Contrat sans l’acte de base [article 58, paragraphe 2, point d), prérogatives) et e) autonomie </w:t>
                  </w:r>
                  <w:r w:rsidRPr="00EA2B56">
                    <w:rPr>
                      <w:rFonts w:ascii="Times New Roman" w:hAnsi="Times New Roman" w:cs="Times New Roman"/>
                      <w:i/>
                      <w:iCs/>
                      <w:sz w:val="22"/>
                      <w:szCs w:val="22"/>
                      <w:highlight w:val="yellow"/>
                    </w:rPr>
                    <w:t>administrative</w:t>
                  </w:r>
                  <w:r w:rsidRPr="00EA2B56">
                    <w:rPr>
                      <w:rFonts w:ascii="Times New Roman" w:hAnsi="Times New Roman" w:cs="Times New Roman"/>
                      <w:b w:val="0"/>
                      <w:bCs/>
                      <w:i/>
                      <w:iCs/>
                      <w:sz w:val="22"/>
                      <w:szCs w:val="22"/>
                      <w:highlight w:val="yellow"/>
                    </w:rPr>
                    <w:t xml:space="preserve"> (crédits ATA) du RF], qui sont au moins partiellement dans l’intérêt du ou des pays partenaires</w:t>
                  </w:r>
                </w:p>
              </w:tc>
              <w:tc>
                <w:tcPr>
                  <w:tcW w:w="2127" w:type="dxa"/>
                </w:tcPr>
                <w:p w14:paraId="7A269553"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le Cameroun, le Kenya, le Liban et le Royaume-Uni ne sont pas éligibles.</w:t>
                  </w:r>
                </w:p>
              </w:tc>
              <w:tc>
                <w:tcPr>
                  <w:tcW w:w="2799" w:type="dxa"/>
                </w:tcPr>
                <w:p w14:paraId="353B8A63"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 — veuillez-vous référer à la note de bas de page 2.</w:t>
                  </w:r>
                </w:p>
              </w:tc>
            </w:tr>
          </w:tbl>
          <w:p w14:paraId="232D067F" w14:textId="77777777" w:rsidR="00C4668B" w:rsidRDefault="00C4668B" w:rsidP="00C4668B">
            <w:pPr>
              <w:pStyle w:val="P68B1DB1-Normal7"/>
              <w:jc w:val="center"/>
            </w:pPr>
          </w:p>
          <w:p w14:paraId="5FF7E3E4" w14:textId="77777777" w:rsidR="00EA2B56" w:rsidRDefault="00EA2B56" w:rsidP="00C4668B">
            <w:pPr>
              <w:pStyle w:val="P68B1DB1-Normal7"/>
              <w:jc w:val="center"/>
              <w:rPr>
                <w:b/>
                <w:bCs/>
              </w:rPr>
            </w:pPr>
          </w:p>
          <w:p w14:paraId="4640243C" w14:textId="79C39A00" w:rsidR="00C4668B" w:rsidRPr="00C4668B" w:rsidRDefault="00C4668B" w:rsidP="00C4668B">
            <w:pPr>
              <w:pStyle w:val="P68B1DB1-Normal7"/>
              <w:jc w:val="center"/>
              <w:rPr>
                <w:b/>
                <w:bCs/>
              </w:rPr>
            </w:pPr>
            <w:r w:rsidRPr="00C4668B">
              <w:rPr>
                <w:b/>
                <w:bCs/>
              </w:rPr>
              <w:t>CFP 2014-2020</w:t>
            </w:r>
          </w:p>
          <w:p w14:paraId="25BADB4E" w14:textId="77777777" w:rsidR="00C4668B" w:rsidRPr="00C4668B" w:rsidRDefault="00C4668B" w:rsidP="00C4668B">
            <w:pPr>
              <w:rPr>
                <w:i/>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9"/>
              <w:gridCol w:w="2127"/>
              <w:gridCol w:w="2835"/>
            </w:tblGrid>
            <w:tr w:rsidR="00C4668B" w:rsidRPr="00C4668B" w14:paraId="0BA5DD56" w14:textId="77777777" w:rsidTr="00C20A7C">
              <w:trPr>
                <w:trHeight w:val="506"/>
              </w:trPr>
              <w:tc>
                <w:tcPr>
                  <w:tcW w:w="4059" w:type="dxa"/>
                </w:tcPr>
                <w:p w14:paraId="0C7BFA15" w14:textId="77777777" w:rsidR="00C4668B" w:rsidRPr="00C4668B" w:rsidRDefault="00C4668B" w:rsidP="00C4668B">
                  <w:pPr>
                    <w:pStyle w:val="P68B1DB1-Normal8"/>
                    <w:rPr>
                      <w:b/>
                      <w:bCs/>
                      <w:szCs w:val="22"/>
                    </w:rPr>
                  </w:pPr>
                  <w:r w:rsidRPr="00C4668B">
                    <w:rPr>
                      <w:b/>
                      <w:bCs/>
                      <w:szCs w:val="22"/>
                    </w:rPr>
                    <w:t>Instrument de financement</w:t>
                  </w:r>
                </w:p>
              </w:tc>
              <w:tc>
                <w:tcPr>
                  <w:tcW w:w="2127" w:type="dxa"/>
                </w:tcPr>
                <w:p w14:paraId="0B35BAB1" w14:textId="77777777" w:rsidR="00C4668B" w:rsidRPr="00C4668B" w:rsidRDefault="00C4668B" w:rsidP="00C4668B">
                  <w:pPr>
                    <w:pStyle w:val="P68B1DB1-Normal8"/>
                    <w:rPr>
                      <w:b/>
                      <w:bCs/>
                      <w:szCs w:val="22"/>
                    </w:rPr>
                  </w:pPr>
                  <w:r w:rsidRPr="00C4668B">
                    <w:rPr>
                      <w:b/>
                      <w:bCs/>
                      <w:szCs w:val="22"/>
                    </w:rPr>
                    <w:t xml:space="preserve">Critères d’éligibilité </w:t>
                  </w:r>
                </w:p>
              </w:tc>
              <w:tc>
                <w:tcPr>
                  <w:tcW w:w="2835" w:type="dxa"/>
                </w:tcPr>
                <w:p w14:paraId="2747E195" w14:textId="77777777" w:rsidR="00C4668B" w:rsidRPr="00EA2B56" w:rsidRDefault="00C4668B" w:rsidP="00C4668B">
                  <w:pPr>
                    <w:pStyle w:val="P68B1DB1-Normal9"/>
                    <w:rPr>
                      <w:i/>
                      <w:iCs/>
                      <w:color w:val="auto"/>
                      <w:sz w:val="22"/>
                      <w:szCs w:val="22"/>
                      <w:highlight w:val="yellow"/>
                    </w:rPr>
                  </w:pPr>
                  <w:r w:rsidRPr="00EA2B56">
                    <w:rPr>
                      <w:i/>
                      <w:iCs/>
                      <w:color w:val="auto"/>
                      <w:sz w:val="22"/>
                      <w:szCs w:val="22"/>
                      <w:highlight w:val="yellow"/>
                    </w:rPr>
                    <w:t>Exceptions</w:t>
                  </w:r>
                </w:p>
              </w:tc>
            </w:tr>
            <w:tr w:rsidR="00C4668B" w:rsidRPr="00C4668B" w14:paraId="48FCADE1" w14:textId="77777777" w:rsidTr="00C20A7C">
              <w:trPr>
                <w:trHeight w:val="506"/>
              </w:trPr>
              <w:tc>
                <w:tcPr>
                  <w:tcW w:w="4059" w:type="dxa"/>
                </w:tcPr>
                <w:p w14:paraId="7528D54D"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 xml:space="preserve">L’instrument de coopération au développement </w:t>
                  </w:r>
                  <w:r w:rsidRPr="00EA2B56">
                    <w:rPr>
                      <w:rFonts w:ascii="Times New Roman" w:hAnsi="Times New Roman" w:cs="Times New Roman"/>
                      <w:i/>
                      <w:iCs/>
                      <w:sz w:val="22"/>
                      <w:szCs w:val="22"/>
                      <w:highlight w:val="yellow"/>
                    </w:rPr>
                    <w:t>(ICD</w:t>
                  </w:r>
                  <w:proofErr w:type="gramStart"/>
                  <w:r w:rsidRPr="00EA2B56">
                    <w:rPr>
                      <w:rFonts w:ascii="Times New Roman" w:hAnsi="Times New Roman" w:cs="Times New Roman"/>
                      <w:b w:val="0"/>
                      <w:bCs/>
                      <w:i/>
                      <w:iCs/>
                      <w:sz w:val="22"/>
                      <w:szCs w:val="22"/>
                      <w:highlight w:val="yellow"/>
                    </w:rPr>
                    <w:t>);</w:t>
                  </w:r>
                  <w:proofErr w:type="gramEnd"/>
                </w:p>
              </w:tc>
              <w:tc>
                <w:tcPr>
                  <w:tcW w:w="2127" w:type="dxa"/>
                </w:tcPr>
                <w:p w14:paraId="3A8BD97E"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vMerge w:val="restart"/>
                </w:tcPr>
                <w:p w14:paraId="22238D9E" w14:textId="77777777" w:rsidR="00C4668B" w:rsidRPr="00EA2B56" w:rsidRDefault="00C4668B" w:rsidP="00C4668B">
                  <w:pPr>
                    <w:pStyle w:val="P68B1DB1-Normal10"/>
                    <w:tabs>
                      <w:tab w:val="left" w:pos="1457"/>
                    </w:tabs>
                    <w:ind w:right="32"/>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Si l’Argentine est bénéficiaire du contrat faisant l’objet de l’audit et/ou de la vérification</w:t>
                  </w:r>
                </w:p>
              </w:tc>
            </w:tr>
            <w:tr w:rsidR="00C4668B" w:rsidRPr="00C4668B" w14:paraId="6E37AE18" w14:textId="77777777" w:rsidTr="00C20A7C">
              <w:trPr>
                <w:trHeight w:val="522"/>
              </w:trPr>
              <w:tc>
                <w:tcPr>
                  <w:tcW w:w="4059" w:type="dxa"/>
                </w:tcPr>
                <w:p w14:paraId="20A77585"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Instrument européen de voisinage (</w:t>
                  </w:r>
                  <w:r w:rsidRPr="00EA2B56">
                    <w:rPr>
                      <w:rFonts w:ascii="Times New Roman" w:hAnsi="Times New Roman" w:cs="Times New Roman"/>
                      <w:i/>
                      <w:iCs/>
                      <w:sz w:val="22"/>
                      <w:szCs w:val="22"/>
                      <w:highlight w:val="yellow"/>
                    </w:rPr>
                    <w:t>IEV</w:t>
                  </w:r>
                  <w:r w:rsidRPr="00EA2B56">
                    <w:rPr>
                      <w:rFonts w:ascii="Times New Roman" w:hAnsi="Times New Roman" w:cs="Times New Roman"/>
                      <w:b w:val="0"/>
                      <w:bCs/>
                      <w:i/>
                      <w:iCs/>
                      <w:sz w:val="22"/>
                      <w:szCs w:val="22"/>
                      <w:highlight w:val="yellow"/>
                    </w:rPr>
                    <w:t>)</w:t>
                  </w:r>
                </w:p>
              </w:tc>
              <w:tc>
                <w:tcPr>
                  <w:tcW w:w="2127" w:type="dxa"/>
                </w:tcPr>
                <w:p w14:paraId="53542E8E"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vMerge/>
                </w:tcPr>
                <w:p w14:paraId="5F8AE31D" w14:textId="77777777" w:rsidR="00C4668B" w:rsidRPr="00EA2B56" w:rsidRDefault="00C4668B" w:rsidP="00C4668B">
                  <w:pPr>
                    <w:rPr>
                      <w:bCs/>
                      <w:i/>
                      <w:iCs/>
                      <w:sz w:val="22"/>
                      <w:szCs w:val="22"/>
                      <w:highlight w:val="yellow"/>
                    </w:rPr>
                  </w:pPr>
                </w:p>
              </w:tc>
            </w:tr>
            <w:tr w:rsidR="00C4668B" w:rsidRPr="00C4668B" w14:paraId="6CC6A035" w14:textId="77777777" w:rsidTr="00C20A7C">
              <w:trPr>
                <w:trHeight w:val="132"/>
              </w:trPr>
              <w:tc>
                <w:tcPr>
                  <w:tcW w:w="4059" w:type="dxa"/>
                </w:tcPr>
                <w:p w14:paraId="691EB166" w14:textId="77777777" w:rsidR="00C4668B" w:rsidRPr="00EA2B56" w:rsidRDefault="00C4668B" w:rsidP="00C4668B">
                  <w:pPr>
                    <w:pStyle w:val="P68B1DB1-Normal10"/>
                    <w:ind w:hanging="79"/>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 xml:space="preserve"> Instrument de partenariat (</w:t>
                  </w:r>
                  <w:r w:rsidRPr="00EA2B56">
                    <w:rPr>
                      <w:rFonts w:ascii="Times New Roman" w:hAnsi="Times New Roman" w:cs="Times New Roman"/>
                      <w:i/>
                      <w:iCs/>
                      <w:sz w:val="22"/>
                      <w:szCs w:val="22"/>
                      <w:highlight w:val="yellow"/>
                    </w:rPr>
                    <w:t>IP</w:t>
                  </w:r>
                  <w:r w:rsidRPr="00EA2B56">
                    <w:rPr>
                      <w:rFonts w:ascii="Times New Roman" w:hAnsi="Times New Roman" w:cs="Times New Roman"/>
                      <w:b w:val="0"/>
                      <w:bCs/>
                      <w:i/>
                      <w:iCs/>
                      <w:sz w:val="22"/>
                      <w:szCs w:val="22"/>
                      <w:highlight w:val="yellow"/>
                    </w:rPr>
                    <w:t xml:space="preserve">) </w:t>
                  </w:r>
                </w:p>
              </w:tc>
              <w:tc>
                <w:tcPr>
                  <w:tcW w:w="2127" w:type="dxa"/>
                </w:tcPr>
                <w:p w14:paraId="5988786F" w14:textId="77777777" w:rsidR="00C4668B" w:rsidRPr="00EA2B56" w:rsidRDefault="00C4668B" w:rsidP="00C4668B">
                  <w:pPr>
                    <w:pStyle w:val="P68B1DB1-Normal10"/>
                    <w:ind w:hanging="105"/>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 xml:space="preserve">  L’Argentine n’est pas éligible</w:t>
                  </w:r>
                </w:p>
              </w:tc>
              <w:tc>
                <w:tcPr>
                  <w:tcW w:w="2835" w:type="dxa"/>
                  <w:vMerge/>
                </w:tcPr>
                <w:p w14:paraId="6381271E" w14:textId="77777777" w:rsidR="00C4668B" w:rsidRPr="00EA2B56" w:rsidRDefault="00C4668B" w:rsidP="00C4668B">
                  <w:pPr>
                    <w:ind w:hanging="105"/>
                    <w:rPr>
                      <w:bCs/>
                      <w:i/>
                      <w:iCs/>
                      <w:sz w:val="22"/>
                      <w:szCs w:val="22"/>
                      <w:highlight w:val="yellow"/>
                    </w:rPr>
                  </w:pPr>
                </w:p>
              </w:tc>
            </w:tr>
            <w:tr w:rsidR="00C4668B" w:rsidRPr="00C4668B" w14:paraId="5FC26792" w14:textId="77777777" w:rsidTr="00C20A7C">
              <w:trPr>
                <w:trHeight w:val="132"/>
              </w:trPr>
              <w:tc>
                <w:tcPr>
                  <w:tcW w:w="4059" w:type="dxa"/>
                </w:tcPr>
                <w:p w14:paraId="1AFD0A31" w14:textId="77777777" w:rsidR="00C4668B" w:rsidRPr="00EA2B56" w:rsidRDefault="00C4668B" w:rsidP="00C4668B">
                  <w:pPr>
                    <w:pStyle w:val="P68B1DB1-Normal8"/>
                    <w:rPr>
                      <w:b/>
                      <w:iCs/>
                      <w:szCs w:val="22"/>
                    </w:rPr>
                  </w:pPr>
                  <w:r w:rsidRPr="00EA2B56">
                    <w:rPr>
                      <w:b/>
                      <w:iCs/>
                      <w:szCs w:val="22"/>
                    </w:rPr>
                    <w:t>ICSN</w:t>
                  </w:r>
                </w:p>
                <w:p w14:paraId="787CB3DE" w14:textId="77777777" w:rsidR="00C4668B" w:rsidRPr="00EA2B56" w:rsidRDefault="00C4668B" w:rsidP="00C4668B">
                  <w:pPr>
                    <w:rPr>
                      <w:b/>
                      <w:i/>
                      <w:iCs/>
                      <w:sz w:val="22"/>
                      <w:szCs w:val="22"/>
                      <w:highlight w:val="yellow"/>
                    </w:rPr>
                  </w:pPr>
                </w:p>
              </w:tc>
              <w:tc>
                <w:tcPr>
                  <w:tcW w:w="2127" w:type="dxa"/>
                </w:tcPr>
                <w:p w14:paraId="630D4315"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vMerge/>
                </w:tcPr>
                <w:p w14:paraId="0ED36B27" w14:textId="77777777" w:rsidR="00C4668B" w:rsidRPr="00EA2B56" w:rsidRDefault="00C4668B" w:rsidP="00C4668B">
                  <w:pPr>
                    <w:rPr>
                      <w:bCs/>
                      <w:i/>
                      <w:iCs/>
                      <w:sz w:val="22"/>
                      <w:szCs w:val="22"/>
                      <w:highlight w:val="yellow"/>
                    </w:rPr>
                  </w:pPr>
                </w:p>
              </w:tc>
            </w:tr>
            <w:tr w:rsidR="00C4668B" w:rsidRPr="00C4668B" w14:paraId="16534447" w14:textId="77777777" w:rsidTr="00C20A7C">
              <w:trPr>
                <w:trHeight w:val="132"/>
              </w:trPr>
              <w:tc>
                <w:tcPr>
                  <w:tcW w:w="4059" w:type="dxa"/>
                </w:tcPr>
                <w:p w14:paraId="400C32EA" w14:textId="77777777" w:rsidR="00C4668B" w:rsidRPr="00EA2B56" w:rsidRDefault="00C4668B" w:rsidP="00C4668B">
                  <w:pPr>
                    <w:pStyle w:val="P68B1DB1-Normal8"/>
                    <w:rPr>
                      <w:b/>
                      <w:iCs/>
                      <w:szCs w:val="22"/>
                    </w:rPr>
                  </w:pPr>
                  <w:r w:rsidRPr="00EA2B56">
                    <w:rPr>
                      <w:b/>
                      <w:iCs/>
                      <w:szCs w:val="22"/>
                    </w:rPr>
                    <w:t>Groenland</w:t>
                  </w:r>
                </w:p>
              </w:tc>
              <w:tc>
                <w:tcPr>
                  <w:tcW w:w="2127" w:type="dxa"/>
                </w:tcPr>
                <w:p w14:paraId="2F0A23E9"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vMerge/>
                </w:tcPr>
                <w:p w14:paraId="33106083" w14:textId="77777777" w:rsidR="00C4668B" w:rsidRPr="00EA2B56" w:rsidRDefault="00C4668B" w:rsidP="00C4668B">
                  <w:pPr>
                    <w:rPr>
                      <w:bCs/>
                      <w:i/>
                      <w:iCs/>
                      <w:sz w:val="22"/>
                      <w:szCs w:val="22"/>
                      <w:highlight w:val="yellow"/>
                    </w:rPr>
                  </w:pPr>
                </w:p>
              </w:tc>
            </w:tr>
            <w:tr w:rsidR="00C4668B" w:rsidRPr="00C4668B" w14:paraId="58C7407B" w14:textId="77777777" w:rsidTr="00C20A7C">
              <w:trPr>
                <w:trHeight w:val="132"/>
              </w:trPr>
              <w:tc>
                <w:tcPr>
                  <w:tcW w:w="4059" w:type="dxa"/>
                </w:tcPr>
                <w:p w14:paraId="136F2499"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Instrument contribuant à la stabilité et à la paix (</w:t>
                  </w:r>
                  <w:proofErr w:type="spellStart"/>
                  <w:r w:rsidRPr="00EA2B56">
                    <w:rPr>
                      <w:rFonts w:ascii="Times New Roman" w:hAnsi="Times New Roman" w:cs="Times New Roman"/>
                      <w:i/>
                      <w:iCs/>
                      <w:sz w:val="22"/>
                      <w:szCs w:val="22"/>
                      <w:highlight w:val="yellow"/>
                    </w:rPr>
                    <w:t>IcSP</w:t>
                  </w:r>
                  <w:proofErr w:type="spellEnd"/>
                  <w:r w:rsidRPr="00EA2B56">
                    <w:rPr>
                      <w:rFonts w:ascii="Times New Roman" w:hAnsi="Times New Roman" w:cs="Times New Roman"/>
                      <w:b w:val="0"/>
                      <w:bCs/>
                      <w:i/>
                      <w:iCs/>
                      <w:sz w:val="22"/>
                      <w:szCs w:val="22"/>
                      <w:highlight w:val="yellow"/>
                    </w:rPr>
                    <w:t>)</w:t>
                  </w:r>
                </w:p>
              </w:tc>
              <w:tc>
                <w:tcPr>
                  <w:tcW w:w="2127" w:type="dxa"/>
                </w:tcPr>
                <w:p w14:paraId="29DBBC07"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Tous sont éligibles</w:t>
                  </w:r>
                </w:p>
              </w:tc>
              <w:tc>
                <w:tcPr>
                  <w:tcW w:w="2835" w:type="dxa"/>
                </w:tcPr>
                <w:p w14:paraId="6DC92617"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w:t>
                  </w:r>
                </w:p>
              </w:tc>
            </w:tr>
            <w:tr w:rsidR="00C4668B" w:rsidRPr="00C4668B" w14:paraId="0757153A" w14:textId="77777777" w:rsidTr="00C20A7C">
              <w:trPr>
                <w:trHeight w:val="132"/>
              </w:trPr>
              <w:tc>
                <w:tcPr>
                  <w:tcW w:w="4059" w:type="dxa"/>
                </w:tcPr>
                <w:p w14:paraId="6F019FE6"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L’instrument européen pour la démocratie et les droits de l’homme (</w:t>
                  </w:r>
                  <w:r w:rsidRPr="00EA2B56">
                    <w:rPr>
                      <w:rFonts w:ascii="Times New Roman" w:hAnsi="Times New Roman" w:cs="Times New Roman"/>
                      <w:i/>
                      <w:iCs/>
                      <w:sz w:val="22"/>
                      <w:szCs w:val="22"/>
                      <w:highlight w:val="yellow"/>
                    </w:rPr>
                    <w:t>IEDDH</w:t>
                  </w:r>
                  <w:r w:rsidRPr="00EA2B56">
                    <w:rPr>
                      <w:rFonts w:ascii="Times New Roman" w:hAnsi="Times New Roman" w:cs="Times New Roman"/>
                      <w:b w:val="0"/>
                      <w:bCs/>
                      <w:i/>
                      <w:iCs/>
                      <w:sz w:val="22"/>
                      <w:szCs w:val="22"/>
                      <w:highlight w:val="yellow"/>
                    </w:rPr>
                    <w:t>)</w:t>
                  </w:r>
                </w:p>
              </w:tc>
              <w:tc>
                <w:tcPr>
                  <w:tcW w:w="2127" w:type="dxa"/>
                </w:tcPr>
                <w:p w14:paraId="2C602601"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Tous sont éligibles</w:t>
                  </w:r>
                </w:p>
              </w:tc>
              <w:tc>
                <w:tcPr>
                  <w:tcW w:w="2835" w:type="dxa"/>
                </w:tcPr>
                <w:p w14:paraId="7F9EBA1E"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 xml:space="preserve">Sans objet </w:t>
                  </w:r>
                </w:p>
              </w:tc>
            </w:tr>
            <w:tr w:rsidR="00C4668B" w:rsidRPr="00C4668B" w14:paraId="39B1A0A0" w14:textId="77777777" w:rsidTr="00C20A7C">
              <w:trPr>
                <w:trHeight w:val="132"/>
              </w:trPr>
              <w:tc>
                <w:tcPr>
                  <w:tcW w:w="4059" w:type="dxa"/>
                </w:tcPr>
                <w:p w14:paraId="32D5FD28"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Instrument d’aide de préadhésion (</w:t>
                  </w:r>
                  <w:r w:rsidRPr="00EA2B56">
                    <w:rPr>
                      <w:rFonts w:ascii="Times New Roman" w:hAnsi="Times New Roman" w:cs="Times New Roman"/>
                      <w:i/>
                      <w:iCs/>
                      <w:sz w:val="22"/>
                      <w:szCs w:val="22"/>
                      <w:highlight w:val="yellow"/>
                    </w:rPr>
                    <w:t>IAP II</w:t>
                  </w:r>
                  <w:r w:rsidRPr="00EA2B56">
                    <w:rPr>
                      <w:rFonts w:ascii="Times New Roman" w:hAnsi="Times New Roman" w:cs="Times New Roman"/>
                      <w:b w:val="0"/>
                      <w:bCs/>
                      <w:i/>
                      <w:iCs/>
                      <w:sz w:val="22"/>
                      <w:szCs w:val="22"/>
                      <w:highlight w:val="yellow"/>
                    </w:rPr>
                    <w:t>)</w:t>
                  </w:r>
                </w:p>
              </w:tc>
              <w:tc>
                <w:tcPr>
                  <w:tcW w:w="2127" w:type="dxa"/>
                </w:tcPr>
                <w:p w14:paraId="565DAC04"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le Cameroun et le Kenya ne sont pas éligibles.</w:t>
                  </w:r>
                </w:p>
              </w:tc>
              <w:tc>
                <w:tcPr>
                  <w:tcW w:w="2835" w:type="dxa"/>
                </w:tcPr>
                <w:p w14:paraId="629CF00A"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 — veuillez-vous référer à la note de bas de page 2.</w:t>
                  </w:r>
                </w:p>
              </w:tc>
            </w:tr>
            <w:tr w:rsidR="00C4668B" w:rsidRPr="00C4668B" w14:paraId="6C5EEE3E" w14:textId="77777777" w:rsidTr="00C20A7C">
              <w:trPr>
                <w:trHeight w:val="132"/>
              </w:trPr>
              <w:tc>
                <w:tcPr>
                  <w:tcW w:w="4059" w:type="dxa"/>
                  <w:tcBorders>
                    <w:top w:val="single" w:sz="4" w:space="0" w:color="auto"/>
                    <w:left w:val="single" w:sz="4" w:space="0" w:color="auto"/>
                    <w:bottom w:val="single" w:sz="4" w:space="0" w:color="auto"/>
                    <w:right w:val="single" w:sz="4" w:space="0" w:color="auto"/>
                  </w:tcBorders>
                </w:tcPr>
                <w:p w14:paraId="6E6BF0AA"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Décision d’association outre-mer (</w:t>
                  </w:r>
                  <w:r w:rsidRPr="00EA2B56">
                    <w:rPr>
                      <w:rFonts w:ascii="Times New Roman" w:hAnsi="Times New Roman" w:cs="Times New Roman"/>
                      <w:i/>
                      <w:iCs/>
                      <w:sz w:val="22"/>
                      <w:szCs w:val="22"/>
                      <w:highlight w:val="yellow"/>
                    </w:rPr>
                    <w:t>APD</w:t>
                  </w:r>
                  <w:r w:rsidRPr="00EA2B56">
                    <w:rPr>
                      <w:rFonts w:ascii="Times New Roman" w:hAnsi="Times New Roman" w:cs="Times New Roman"/>
                      <w:b w:val="0"/>
                      <w:bCs/>
                      <w:i/>
                      <w:iCs/>
                      <w:sz w:val="22"/>
                      <w:szCs w:val="22"/>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3DFCA218"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tcBorders>
                    <w:top w:val="single" w:sz="4" w:space="0" w:color="auto"/>
                    <w:left w:val="single" w:sz="4" w:space="0" w:color="auto"/>
                    <w:bottom w:val="single" w:sz="4" w:space="0" w:color="auto"/>
                    <w:right w:val="single" w:sz="4" w:space="0" w:color="auto"/>
                  </w:tcBorders>
                </w:tcPr>
                <w:p w14:paraId="1FE341C5"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 — veuillez-vous référer à la note de bas de page 2.</w:t>
                  </w:r>
                </w:p>
              </w:tc>
            </w:tr>
          </w:tbl>
          <w:p w14:paraId="10E6ABE6" w14:textId="77777777" w:rsidR="00C4668B" w:rsidRPr="00C4668B" w:rsidRDefault="00C4668B" w:rsidP="00C4668B">
            <w:pPr>
              <w:rPr>
                <w:i/>
                <w:sz w:val="22"/>
                <w:szCs w:val="22"/>
                <w:highlight w:val="yellow"/>
              </w:rPr>
            </w:pPr>
          </w:p>
          <w:p w14:paraId="7C5D5544" w14:textId="77777777" w:rsidR="00C4668B" w:rsidRDefault="00C4668B" w:rsidP="00C4668B">
            <w:pPr>
              <w:rPr>
                <w:i/>
                <w:sz w:val="22"/>
                <w:szCs w:val="22"/>
                <w:highlight w:val="yellow"/>
              </w:rPr>
            </w:pPr>
          </w:p>
          <w:p w14:paraId="2F951A96" w14:textId="77777777" w:rsidR="00EA2B56" w:rsidRPr="00C4668B" w:rsidRDefault="00EA2B56" w:rsidP="00C4668B">
            <w:pPr>
              <w:rPr>
                <w:i/>
                <w:sz w:val="22"/>
                <w:szCs w:val="22"/>
                <w:highlight w:val="yellow"/>
              </w:rPr>
            </w:pPr>
          </w:p>
          <w:p w14:paraId="239D132E" w14:textId="77777777" w:rsidR="00C4668B" w:rsidRPr="00EA2B56" w:rsidRDefault="00C4668B" w:rsidP="00C4668B">
            <w:pPr>
              <w:pStyle w:val="P68B1DB1-Normal10"/>
              <w:jc w:val="center"/>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lastRenderedPageBreak/>
              <w:t>Le Fonds européen de développement (</w:t>
            </w:r>
            <w:r w:rsidRPr="00EA2B56">
              <w:rPr>
                <w:rFonts w:ascii="Times New Roman" w:hAnsi="Times New Roman" w:cs="Times New Roman"/>
                <w:i/>
                <w:iCs/>
                <w:sz w:val="22"/>
                <w:szCs w:val="22"/>
                <w:highlight w:val="yellow"/>
              </w:rPr>
              <w:t>FED</w:t>
            </w:r>
            <w:r w:rsidRPr="00EA2B56">
              <w:rPr>
                <w:rFonts w:ascii="Times New Roman" w:hAnsi="Times New Roman" w:cs="Times New Roman"/>
                <w:b w:val="0"/>
                <w:bCs/>
                <w:i/>
                <w:iCs/>
                <w:sz w:val="22"/>
                <w:szCs w:val="22"/>
                <w:highlight w:val="yellow"/>
              </w:rPr>
              <w:t>).</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9"/>
              <w:gridCol w:w="2127"/>
              <w:gridCol w:w="2835"/>
            </w:tblGrid>
            <w:tr w:rsidR="00C4668B" w:rsidRPr="00EA2B56" w14:paraId="47729274" w14:textId="77777777" w:rsidTr="00C20A7C">
              <w:trPr>
                <w:trHeight w:val="132"/>
              </w:trPr>
              <w:tc>
                <w:tcPr>
                  <w:tcW w:w="4059" w:type="dxa"/>
                  <w:tcBorders>
                    <w:top w:val="single" w:sz="4" w:space="0" w:color="auto"/>
                    <w:left w:val="single" w:sz="4" w:space="0" w:color="auto"/>
                    <w:bottom w:val="single" w:sz="4" w:space="0" w:color="auto"/>
                    <w:right w:val="single" w:sz="4" w:space="0" w:color="auto"/>
                  </w:tcBorders>
                </w:tcPr>
                <w:p w14:paraId="5BF5A0C1"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Le Fonds européen de développement (</w:t>
                  </w:r>
                  <w:r w:rsidRPr="00EA2B56">
                    <w:rPr>
                      <w:rFonts w:ascii="Times New Roman" w:hAnsi="Times New Roman" w:cs="Times New Roman"/>
                      <w:i/>
                      <w:iCs/>
                      <w:sz w:val="22"/>
                      <w:szCs w:val="22"/>
                      <w:highlight w:val="yellow"/>
                    </w:rPr>
                    <w:t>FED</w:t>
                  </w:r>
                  <w:r w:rsidRPr="00EA2B56">
                    <w:rPr>
                      <w:rFonts w:ascii="Times New Roman" w:hAnsi="Times New Roman" w:cs="Times New Roman"/>
                      <w:b w:val="0"/>
                      <w:bCs/>
                      <w:i/>
                      <w:iCs/>
                      <w:sz w:val="22"/>
                      <w:szCs w:val="22"/>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7924EC2B"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n’est pas éligible</w:t>
                  </w:r>
                </w:p>
              </w:tc>
              <w:tc>
                <w:tcPr>
                  <w:tcW w:w="2835" w:type="dxa"/>
                  <w:tcBorders>
                    <w:top w:val="single" w:sz="4" w:space="0" w:color="auto"/>
                    <w:left w:val="single" w:sz="4" w:space="0" w:color="auto"/>
                    <w:bottom w:val="single" w:sz="4" w:space="0" w:color="auto"/>
                    <w:right w:val="single" w:sz="4" w:space="0" w:color="auto"/>
                  </w:tcBorders>
                </w:tcPr>
                <w:p w14:paraId="18852895"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Sans objet — veuillez-vous référer à la note de bas de page 2.</w:t>
                  </w:r>
                </w:p>
              </w:tc>
            </w:tr>
          </w:tbl>
          <w:p w14:paraId="11693A12" w14:textId="77777777" w:rsidR="00C4668B" w:rsidRPr="00EA2B56" w:rsidRDefault="00C4668B" w:rsidP="00C4668B">
            <w:pPr>
              <w:rPr>
                <w:bCs/>
                <w:i/>
                <w:iCs/>
                <w:sz w:val="28"/>
                <w:highlight w:val="yellow"/>
                <w:u w:val="single"/>
              </w:rPr>
            </w:pPr>
          </w:p>
          <w:p w14:paraId="0CE5746C" w14:textId="77777777" w:rsidR="00C4668B" w:rsidRPr="00EA2B56" w:rsidRDefault="00C4668B" w:rsidP="00C4668B">
            <w:pPr>
              <w:rPr>
                <w:bCs/>
                <w:i/>
                <w:iCs/>
                <w:highlight w:val="yellow"/>
              </w:rPr>
            </w:pPr>
          </w:p>
          <w:p w14:paraId="59B00955" w14:textId="77777777" w:rsidR="00C4668B" w:rsidRPr="00EA2B56" w:rsidRDefault="00C4668B" w:rsidP="00C4668B">
            <w:pPr>
              <w:pStyle w:val="P68B1DB1-Normal10"/>
              <w:jc w:val="center"/>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Facilité européenne pour la paix (</w:t>
            </w:r>
            <w:r w:rsidRPr="00EA2B56">
              <w:rPr>
                <w:rFonts w:ascii="Times New Roman" w:hAnsi="Times New Roman" w:cs="Times New Roman"/>
                <w:i/>
                <w:iCs/>
                <w:sz w:val="22"/>
                <w:szCs w:val="22"/>
                <w:highlight w:val="yellow"/>
              </w:rPr>
              <w:t>FEP</w:t>
            </w:r>
            <w:r w:rsidRPr="00EA2B56">
              <w:rPr>
                <w:rFonts w:ascii="Times New Roman" w:hAnsi="Times New Roman" w:cs="Times New Roman"/>
                <w:b w:val="0"/>
                <w:bCs/>
                <w:i/>
                <w:iCs/>
                <w:sz w:val="22"/>
                <w:szCs w:val="22"/>
                <w:highlight w:val="yellow"/>
              </w:rPr>
              <w:t>).</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59"/>
              <w:gridCol w:w="2127"/>
              <w:gridCol w:w="2835"/>
            </w:tblGrid>
            <w:tr w:rsidR="00C4668B" w:rsidRPr="00EA2B56" w14:paraId="557A7533" w14:textId="77777777" w:rsidTr="00C20A7C">
              <w:trPr>
                <w:trHeight w:val="132"/>
              </w:trPr>
              <w:tc>
                <w:tcPr>
                  <w:tcW w:w="4059" w:type="dxa"/>
                  <w:tcBorders>
                    <w:top w:val="single" w:sz="4" w:space="0" w:color="auto"/>
                    <w:left w:val="single" w:sz="4" w:space="0" w:color="auto"/>
                    <w:bottom w:val="single" w:sz="4" w:space="0" w:color="auto"/>
                    <w:right w:val="single" w:sz="4" w:space="0" w:color="auto"/>
                  </w:tcBorders>
                </w:tcPr>
                <w:p w14:paraId="5162E143"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Facilité européenne pour la paix (</w:t>
                  </w:r>
                  <w:r w:rsidRPr="00EA2B56">
                    <w:rPr>
                      <w:rFonts w:ascii="Times New Roman" w:hAnsi="Times New Roman" w:cs="Times New Roman"/>
                      <w:i/>
                      <w:iCs/>
                      <w:sz w:val="22"/>
                      <w:szCs w:val="22"/>
                      <w:highlight w:val="yellow"/>
                    </w:rPr>
                    <w:t>FEP</w:t>
                  </w:r>
                  <w:r w:rsidRPr="00EA2B56">
                    <w:rPr>
                      <w:rFonts w:ascii="Times New Roman" w:hAnsi="Times New Roman" w:cs="Times New Roman"/>
                      <w:b w:val="0"/>
                      <w:bCs/>
                      <w:i/>
                      <w:iCs/>
                      <w:sz w:val="22"/>
                      <w:szCs w:val="22"/>
                      <w:highlight w:val="yellow"/>
                    </w:rPr>
                    <w:t>).</w:t>
                  </w:r>
                </w:p>
              </w:tc>
              <w:tc>
                <w:tcPr>
                  <w:tcW w:w="2127" w:type="dxa"/>
                  <w:tcBorders>
                    <w:top w:val="single" w:sz="4" w:space="0" w:color="auto"/>
                    <w:left w:val="single" w:sz="4" w:space="0" w:color="auto"/>
                    <w:bottom w:val="single" w:sz="4" w:space="0" w:color="auto"/>
                    <w:right w:val="single" w:sz="4" w:space="0" w:color="auto"/>
                  </w:tcBorders>
                </w:tcPr>
                <w:p w14:paraId="5968A9F2" w14:textId="77777777" w:rsidR="00C4668B" w:rsidRPr="00EA2B56" w:rsidRDefault="00C4668B" w:rsidP="00C4668B">
                  <w:pPr>
                    <w:pStyle w:val="P68B1DB1-Normal10"/>
                    <w:rPr>
                      <w:rFonts w:ascii="Times New Roman" w:hAnsi="Times New Roman" w:cs="Times New Roman"/>
                      <w:b w:val="0"/>
                      <w:bCs/>
                      <w:i/>
                      <w:iCs/>
                      <w:sz w:val="22"/>
                      <w:szCs w:val="22"/>
                      <w:highlight w:val="yellow"/>
                    </w:rPr>
                  </w:pPr>
                  <w:r w:rsidRPr="00EA2B56">
                    <w:rPr>
                      <w:rFonts w:ascii="Times New Roman" w:hAnsi="Times New Roman" w:cs="Times New Roman"/>
                      <w:b w:val="0"/>
                      <w:bCs/>
                      <w:i/>
                      <w:iCs/>
                      <w:sz w:val="22"/>
                      <w:szCs w:val="22"/>
                      <w:highlight w:val="yellow"/>
                    </w:rPr>
                    <w:t>L’Argentine, le Cameroun, le Kenya, le Liban et le Royaume-Uni ne sont pas éligibles.</w:t>
                  </w:r>
                </w:p>
              </w:tc>
              <w:tc>
                <w:tcPr>
                  <w:tcW w:w="2835" w:type="dxa"/>
                  <w:tcBorders>
                    <w:top w:val="single" w:sz="4" w:space="0" w:color="auto"/>
                    <w:left w:val="single" w:sz="4" w:space="0" w:color="auto"/>
                    <w:bottom w:val="single" w:sz="4" w:space="0" w:color="auto"/>
                    <w:right w:val="single" w:sz="4" w:space="0" w:color="auto"/>
                  </w:tcBorders>
                </w:tcPr>
                <w:p w14:paraId="1F4C8441" w14:textId="77777777" w:rsidR="00C4668B" w:rsidRPr="00EA2B56" w:rsidRDefault="00C4668B" w:rsidP="00C4668B">
                  <w:pPr>
                    <w:pStyle w:val="P68B1DB1-Normal10"/>
                    <w:rPr>
                      <w:rFonts w:ascii="Times New Roman" w:hAnsi="Times New Roman" w:cs="Times New Roman"/>
                      <w:b w:val="0"/>
                      <w:bCs/>
                      <w:i/>
                      <w:iCs/>
                      <w:sz w:val="22"/>
                      <w:szCs w:val="22"/>
                    </w:rPr>
                  </w:pPr>
                  <w:r w:rsidRPr="00EA2B56">
                    <w:rPr>
                      <w:rFonts w:ascii="Times New Roman" w:hAnsi="Times New Roman" w:cs="Times New Roman"/>
                      <w:b w:val="0"/>
                      <w:bCs/>
                      <w:i/>
                      <w:iCs/>
                      <w:sz w:val="22"/>
                      <w:szCs w:val="22"/>
                      <w:highlight w:val="yellow"/>
                    </w:rPr>
                    <w:t>Sans objet — veuillez-vous référer à la note de bas de page 2.</w:t>
                  </w:r>
                </w:p>
              </w:tc>
            </w:tr>
          </w:tbl>
          <w:p w14:paraId="55EEF939" w14:textId="77777777" w:rsidR="00C4668B" w:rsidRPr="00C4668B" w:rsidRDefault="00C4668B" w:rsidP="00C4668B">
            <w:pPr>
              <w:rPr>
                <w:b/>
                <w:i/>
                <w:sz w:val="22"/>
                <w:szCs w:val="22"/>
                <w:highlight w:val="yellow"/>
                <w:u w:val="single"/>
              </w:rPr>
            </w:pPr>
          </w:p>
          <w:p w14:paraId="4BDBD56D" w14:textId="77777777" w:rsidR="00C4668B" w:rsidRPr="00C4668B" w:rsidRDefault="00C4668B" w:rsidP="00C4668B">
            <w:pPr>
              <w:rPr>
                <w:b/>
                <w:i/>
                <w:sz w:val="22"/>
                <w:szCs w:val="22"/>
                <w:highlight w:val="yellow"/>
                <w:u w:val="single"/>
              </w:rPr>
            </w:pPr>
          </w:p>
          <w:p w14:paraId="4B9788A5" w14:textId="77777777" w:rsidR="00C4668B" w:rsidRPr="00C4668B" w:rsidRDefault="00C4668B" w:rsidP="00C4668B">
            <w:pPr>
              <w:rPr>
                <w:b/>
                <w:i/>
                <w:sz w:val="22"/>
                <w:szCs w:val="22"/>
                <w:highlight w:val="yellow"/>
                <w:u w:val="single"/>
              </w:rPr>
            </w:pPr>
          </w:p>
          <w:tbl>
            <w:tblPr>
              <w:tblStyle w:val="TableGrid"/>
              <w:tblW w:w="0" w:type="auto"/>
              <w:tblLayout w:type="fixed"/>
              <w:tblLook w:val="06A0" w:firstRow="1" w:lastRow="0" w:firstColumn="1" w:lastColumn="0" w:noHBand="1" w:noVBand="1"/>
            </w:tblPr>
            <w:tblGrid>
              <w:gridCol w:w="8550"/>
            </w:tblGrid>
            <w:tr w:rsidR="00C4668B" w:rsidRPr="00C4668B" w14:paraId="66D6CBC2" w14:textId="77777777" w:rsidTr="00C20A7C">
              <w:trPr>
                <w:trHeight w:val="990"/>
              </w:trPr>
              <w:tc>
                <w:tcPr>
                  <w:tcW w:w="8550" w:type="dxa"/>
                </w:tcPr>
                <w:p w14:paraId="0F61F7D0" w14:textId="77777777" w:rsidR="00C4668B" w:rsidRPr="00EA2B56" w:rsidRDefault="00C4668B" w:rsidP="00C4668B">
                  <w:pPr>
                    <w:pStyle w:val="P68B1DB1-Normal8"/>
                    <w:spacing w:line="259" w:lineRule="auto"/>
                    <w:rPr>
                      <w:b/>
                      <w:bCs/>
                      <w:szCs w:val="22"/>
                    </w:rPr>
                  </w:pPr>
                  <w:r w:rsidRPr="00EA2B56">
                    <w:rPr>
                      <w:b/>
                      <w:bCs/>
                      <w:szCs w:val="22"/>
                    </w:rPr>
                    <w:t xml:space="preserve"> Audits des contrats des fonds fiduciaires</w:t>
                  </w:r>
                </w:p>
                <w:p w14:paraId="0AB347AD" w14:textId="77777777" w:rsidR="00EA2B56" w:rsidRPr="00C4668B" w:rsidRDefault="00EA2B56" w:rsidP="00C4668B">
                  <w:pPr>
                    <w:pStyle w:val="P68B1DB1-Normal8"/>
                    <w:spacing w:line="259" w:lineRule="auto"/>
                    <w:rPr>
                      <w:szCs w:val="22"/>
                    </w:rPr>
                  </w:pPr>
                </w:p>
                <w:p w14:paraId="3C6CA02F" w14:textId="2874C181" w:rsidR="00C4668B" w:rsidRPr="00EA2B56" w:rsidRDefault="00C4668B" w:rsidP="00C4668B">
                  <w:pPr>
                    <w:pStyle w:val="P68B1DB1-Normal10"/>
                    <w:spacing w:line="259" w:lineRule="auto"/>
                    <w:rPr>
                      <w:rFonts w:ascii="Times New Roman" w:hAnsi="Times New Roman" w:cs="Times New Roman"/>
                      <w:b w:val="0"/>
                      <w:bCs/>
                      <w:i/>
                      <w:iCs/>
                      <w:sz w:val="22"/>
                      <w:szCs w:val="22"/>
                    </w:rPr>
                  </w:pPr>
                  <w:r w:rsidRPr="00EA2B56">
                    <w:rPr>
                      <w:rFonts w:ascii="Times New Roman" w:hAnsi="Times New Roman" w:cs="Times New Roman"/>
                      <w:b w:val="0"/>
                      <w:bCs/>
                      <w:i/>
                      <w:iCs/>
                      <w:sz w:val="22"/>
                      <w:szCs w:val="22"/>
                      <w:highlight w:val="yellow"/>
                    </w:rPr>
                    <w:t xml:space="preserve">La source de financement du contrat du fonds fiduciaire faisant l’objet d’un audit (BUDG, FED ou autre) détermine la règle de nationalité applicable au contrat spécifique d’audit tel que défini </w:t>
                  </w:r>
                  <w:r w:rsidR="006537A6">
                    <w:rPr>
                      <w:rFonts w:ascii="Times New Roman" w:hAnsi="Times New Roman" w:cs="Times New Roman"/>
                      <w:b w:val="0"/>
                      <w:bCs/>
                      <w:i/>
                      <w:iCs/>
                      <w:sz w:val="22"/>
                      <w:szCs w:val="22"/>
                      <w:highlight w:val="yellow"/>
                    </w:rPr>
                    <w:t>ci</w:t>
                  </w:r>
                  <w:r w:rsidRPr="00EA2B56">
                    <w:rPr>
                      <w:rFonts w:ascii="Times New Roman" w:hAnsi="Times New Roman" w:cs="Times New Roman"/>
                      <w:b w:val="0"/>
                      <w:bCs/>
                      <w:i/>
                      <w:iCs/>
                      <w:sz w:val="22"/>
                      <w:szCs w:val="22"/>
                      <w:highlight w:val="yellow"/>
                    </w:rPr>
                    <w:t>-dessus. Veuillez sélectionner la source des fonds parmi les possibilités présentées en conséquence.</w:t>
                  </w:r>
                </w:p>
                <w:p w14:paraId="2E49F8B4" w14:textId="77777777" w:rsidR="00C4668B" w:rsidRPr="00C4668B" w:rsidRDefault="00C4668B" w:rsidP="00C4668B">
                  <w:pPr>
                    <w:rPr>
                      <w:i/>
                      <w:sz w:val="22"/>
                      <w:szCs w:val="22"/>
                      <w:highlight w:val="yellow"/>
                    </w:rPr>
                  </w:pPr>
                </w:p>
              </w:tc>
            </w:tr>
          </w:tbl>
          <w:p w14:paraId="5953BE6C" w14:textId="77777777" w:rsidR="00C4668B" w:rsidRPr="00C4668B" w:rsidRDefault="00C4668B" w:rsidP="00C4668B">
            <w:pPr>
              <w:rPr>
                <w:i/>
                <w:highlight w:val="yellow"/>
              </w:rPr>
            </w:pPr>
          </w:p>
          <w:bookmarkEnd w:id="4"/>
          <w:p w14:paraId="7CBD131E" w14:textId="77777777" w:rsidR="00C4668B" w:rsidRPr="00C4668B" w:rsidRDefault="00C4668B" w:rsidP="00C4668B">
            <w:pPr>
              <w:rPr>
                <w:b/>
              </w:rPr>
            </w:pPr>
          </w:p>
          <w:p w14:paraId="7C935696" w14:textId="77777777" w:rsidR="00C4668B" w:rsidRPr="00C4668B" w:rsidRDefault="00C4668B" w:rsidP="00C4668B">
            <w:pPr>
              <w:pStyle w:val="P68B1DB1-Normal11"/>
            </w:pPr>
            <w:r w:rsidRPr="00C4668B">
              <w:t xml:space="preserve">     </w:t>
            </w:r>
            <w:r w:rsidRPr="00C4668B">
              <w:tab/>
            </w:r>
            <w:r w:rsidRPr="00C4668B">
              <w:tab/>
            </w:r>
            <w:r w:rsidRPr="00C4668B">
              <w:tab/>
            </w:r>
            <w:bookmarkStart w:id="6" w:name="_Hlk153356213"/>
            <w:bookmarkStart w:id="7" w:name="_Hlk153356126"/>
          </w:p>
          <w:p w14:paraId="691A8962" w14:textId="77777777" w:rsidR="00C4668B" w:rsidRPr="00C4668B" w:rsidRDefault="00C4668B" w:rsidP="00C4668B">
            <w:pPr>
              <w:pStyle w:val="P68B1DB1-Normal11"/>
            </w:pPr>
          </w:p>
          <w:p w14:paraId="3A156C1D" w14:textId="77777777" w:rsidR="00C4668B" w:rsidRPr="00C4668B" w:rsidRDefault="00C4668B" w:rsidP="00C4668B">
            <w:pPr>
              <w:pStyle w:val="P68B1DB1-Normal11"/>
            </w:pPr>
          </w:p>
          <w:p w14:paraId="62E16382" w14:textId="77777777" w:rsidR="00C4668B" w:rsidRPr="00C4668B" w:rsidRDefault="00C4668B" w:rsidP="00C4668B">
            <w:pPr>
              <w:pStyle w:val="P68B1DB1-Normal11"/>
            </w:pPr>
          </w:p>
          <w:p w14:paraId="7BB35D4C" w14:textId="77777777" w:rsidR="00C4668B" w:rsidRPr="00C4668B" w:rsidRDefault="00C4668B" w:rsidP="00C4668B">
            <w:pPr>
              <w:pStyle w:val="P68B1DB1-Normal11"/>
            </w:pPr>
          </w:p>
          <w:p w14:paraId="2B0F1C1B" w14:textId="77777777" w:rsidR="00C4668B" w:rsidRPr="00C4668B" w:rsidRDefault="00C4668B" w:rsidP="00C4668B">
            <w:pPr>
              <w:pStyle w:val="P68B1DB1-Normal11"/>
            </w:pPr>
          </w:p>
          <w:bookmarkEnd w:id="6"/>
          <w:bookmarkEnd w:id="7"/>
          <w:p w14:paraId="7DB5F612" w14:textId="77777777" w:rsidR="00C4668B" w:rsidRPr="00C4668B" w:rsidRDefault="00C4668B" w:rsidP="00C4668B">
            <w:pPr>
              <w:pBdr>
                <w:top w:val="single" w:sz="4" w:space="0" w:color="auto"/>
                <w:left w:val="single" w:sz="4" w:space="4" w:color="auto"/>
                <w:bottom w:val="single" w:sz="4" w:space="1" w:color="auto"/>
                <w:right w:val="single" w:sz="4" w:space="4" w:color="auto"/>
              </w:pBdr>
              <w:spacing w:before="120"/>
              <w:jc w:val="center"/>
              <w:rPr>
                <w:b/>
                <w:color w:val="FF0000"/>
              </w:rPr>
            </w:pPr>
          </w:p>
          <w:p w14:paraId="48AE0E91" w14:textId="77777777" w:rsidR="00C4668B" w:rsidRPr="00C4668B" w:rsidRDefault="00C4668B" w:rsidP="00C4668B">
            <w:pPr>
              <w:pStyle w:val="P68B1DB1-Normal12"/>
              <w:pBdr>
                <w:top w:val="single" w:sz="4" w:space="0" w:color="auto"/>
                <w:left w:val="single" w:sz="4" w:space="4" w:color="auto"/>
                <w:bottom w:val="single" w:sz="4" w:space="1" w:color="auto"/>
                <w:right w:val="single" w:sz="4" w:space="4" w:color="auto"/>
              </w:pBdr>
              <w:spacing w:before="120" w:after="0"/>
              <w:jc w:val="center"/>
              <w:rPr>
                <w:szCs w:val="22"/>
              </w:rPr>
            </w:pPr>
            <w:r w:rsidRPr="00C4668B">
              <w:rPr>
                <w:szCs w:val="22"/>
              </w:rPr>
              <w:t xml:space="preserve">Modèle à compléter comme suit par </w:t>
            </w:r>
            <w:r w:rsidRPr="00C4668B">
              <w:rPr>
                <w:bCs/>
                <w:szCs w:val="22"/>
                <w:lang w:val="fr-BE"/>
              </w:rPr>
              <w:t xml:space="preserve">le pouvoir </w:t>
            </w:r>
            <w:proofErr w:type="gramStart"/>
            <w:r w:rsidRPr="00C4668B">
              <w:rPr>
                <w:bCs/>
                <w:szCs w:val="22"/>
                <w:lang w:val="fr-BE"/>
              </w:rPr>
              <w:t>adjudicateur</w:t>
            </w:r>
            <w:r w:rsidRPr="00C4668B">
              <w:rPr>
                <w:szCs w:val="22"/>
              </w:rPr>
              <w:t>:</w:t>
            </w:r>
            <w:proofErr w:type="gramEnd"/>
          </w:p>
          <w:p w14:paraId="5871BE98" w14:textId="77777777" w:rsidR="00C4668B" w:rsidRPr="00C4668B" w:rsidRDefault="00C4668B" w:rsidP="00C4668B">
            <w:pPr>
              <w:pStyle w:val="P68B1DB1-Normal12"/>
              <w:numPr>
                <w:ilvl w:val="0"/>
                <w:numId w:val="31"/>
              </w:numPr>
              <w:pBdr>
                <w:top w:val="single" w:sz="4" w:space="0" w:color="auto"/>
                <w:left w:val="single" w:sz="4" w:space="4" w:color="auto"/>
                <w:bottom w:val="single" w:sz="4" w:space="1" w:color="auto"/>
                <w:right w:val="single" w:sz="4" w:space="4" w:color="auto"/>
              </w:pBdr>
              <w:spacing w:before="120" w:after="60"/>
              <w:jc w:val="center"/>
              <w:rPr>
                <w:szCs w:val="22"/>
              </w:rPr>
            </w:pPr>
            <w:r w:rsidRPr="00C4668B">
              <w:rPr>
                <w:szCs w:val="22"/>
              </w:rPr>
              <w:t>(</w:t>
            </w:r>
            <w:proofErr w:type="gramStart"/>
            <w:r w:rsidRPr="00C4668B">
              <w:rPr>
                <w:szCs w:val="22"/>
              </w:rPr>
              <w:t>ces</w:t>
            </w:r>
            <w:proofErr w:type="gramEnd"/>
            <w:r w:rsidRPr="00C4668B">
              <w:rPr>
                <w:szCs w:val="22"/>
              </w:rPr>
              <w:t xml:space="preserve"> instructions s’appliquent également aux annexes 1 et 2) </w:t>
            </w:r>
          </w:p>
          <w:p w14:paraId="1EA9B8F8" w14:textId="77777777" w:rsidR="00C4668B" w:rsidRPr="00C4668B" w:rsidRDefault="00C4668B" w:rsidP="00C4668B">
            <w:pPr>
              <w:numPr>
                <w:ilvl w:val="0"/>
                <w:numId w:val="31"/>
              </w:numPr>
              <w:pBdr>
                <w:top w:val="single" w:sz="4" w:space="0" w:color="auto"/>
                <w:left w:val="single" w:sz="4" w:space="4" w:color="auto"/>
                <w:bottom w:val="single" w:sz="4" w:space="1" w:color="auto"/>
                <w:right w:val="single" w:sz="4" w:space="4" w:color="auto"/>
              </w:pBdr>
              <w:spacing w:after="60"/>
              <w:jc w:val="both"/>
              <w:rPr>
                <w:sz w:val="22"/>
                <w:szCs w:val="22"/>
              </w:rPr>
            </w:pPr>
            <w:proofErr w:type="gramStart"/>
            <w:r w:rsidRPr="00C4668B">
              <w:rPr>
                <w:b/>
                <w:sz w:val="22"/>
                <w:szCs w:val="22"/>
              </w:rPr>
              <w:t>insérez</w:t>
            </w:r>
            <w:proofErr w:type="gramEnd"/>
            <w:r w:rsidRPr="00C4668B">
              <w:rPr>
                <w:sz w:val="22"/>
                <w:szCs w:val="22"/>
              </w:rPr>
              <w:t xml:space="preserve"> les informations demandées entre &lt;</w:t>
            </w:r>
            <w:r w:rsidRPr="00C4668B">
              <w:rPr>
                <w:b/>
                <w:sz w:val="22"/>
                <w:szCs w:val="22"/>
              </w:rPr>
              <w:t>...&gt;</w:t>
            </w:r>
            <w:r w:rsidRPr="00C4668B">
              <w:rPr>
                <w:sz w:val="22"/>
                <w:szCs w:val="22"/>
              </w:rPr>
              <w:t xml:space="preserve"> </w:t>
            </w:r>
          </w:p>
          <w:p w14:paraId="7029BD36" w14:textId="77777777" w:rsidR="00C4668B" w:rsidRPr="00C4668B" w:rsidRDefault="00C4668B" w:rsidP="00C4668B">
            <w:pPr>
              <w:numPr>
                <w:ilvl w:val="0"/>
                <w:numId w:val="31"/>
              </w:numPr>
              <w:pBdr>
                <w:top w:val="single" w:sz="4" w:space="0" w:color="auto"/>
                <w:left w:val="single" w:sz="4" w:space="4" w:color="auto"/>
                <w:bottom w:val="single" w:sz="4" w:space="1" w:color="auto"/>
                <w:right w:val="single" w:sz="4" w:space="4" w:color="auto"/>
              </w:pBdr>
              <w:spacing w:before="120" w:after="60"/>
              <w:jc w:val="both"/>
              <w:rPr>
                <w:sz w:val="22"/>
                <w:szCs w:val="22"/>
              </w:rPr>
            </w:pPr>
            <w:proofErr w:type="gramStart"/>
            <w:r w:rsidRPr="00C4668B">
              <w:rPr>
                <w:b/>
                <w:sz w:val="22"/>
                <w:szCs w:val="22"/>
              </w:rPr>
              <w:t>choisir</w:t>
            </w:r>
            <w:proofErr w:type="gramEnd"/>
            <w:r w:rsidRPr="00C4668B">
              <w:rPr>
                <w:sz w:val="22"/>
                <w:szCs w:val="22"/>
              </w:rPr>
              <w:t xml:space="preserve">, le cas échéant, le texte optionnel surligné en </w:t>
            </w:r>
            <w:r w:rsidRPr="00C4668B">
              <w:rPr>
                <w:sz w:val="22"/>
                <w:szCs w:val="22"/>
                <w:highlight w:val="lightGray"/>
              </w:rPr>
              <w:t>gris</w:t>
            </w:r>
            <w:r w:rsidRPr="00C4668B">
              <w:rPr>
                <w:sz w:val="22"/>
                <w:szCs w:val="22"/>
              </w:rPr>
              <w:t xml:space="preserve"> entre </w:t>
            </w:r>
            <w:r w:rsidRPr="00C4668B">
              <w:rPr>
                <w:b/>
                <w:sz w:val="22"/>
                <w:szCs w:val="22"/>
              </w:rPr>
              <w:t>[</w:t>
            </w:r>
            <w:r w:rsidRPr="00C4668B">
              <w:rPr>
                <w:b/>
                <w:sz w:val="22"/>
                <w:szCs w:val="22"/>
                <w:highlight w:val="lightGray"/>
              </w:rPr>
              <w:t>...</w:t>
            </w:r>
            <w:r w:rsidRPr="00C4668B">
              <w:rPr>
                <w:b/>
                <w:sz w:val="22"/>
                <w:szCs w:val="22"/>
              </w:rPr>
              <w:t>]</w:t>
            </w:r>
            <w:r w:rsidRPr="00C4668B">
              <w:rPr>
                <w:sz w:val="22"/>
                <w:szCs w:val="22"/>
              </w:rPr>
              <w:t>, ou le supprimer</w:t>
            </w:r>
          </w:p>
          <w:p w14:paraId="0C4CA686" w14:textId="77777777" w:rsidR="00C4668B" w:rsidRPr="00C4668B" w:rsidRDefault="00C4668B" w:rsidP="00C4668B">
            <w:pPr>
              <w:numPr>
                <w:ilvl w:val="0"/>
                <w:numId w:val="31"/>
              </w:numPr>
              <w:pBdr>
                <w:top w:val="single" w:sz="4" w:space="0" w:color="auto"/>
                <w:left w:val="single" w:sz="4" w:space="4" w:color="auto"/>
                <w:bottom w:val="single" w:sz="4" w:space="1" w:color="auto"/>
                <w:right w:val="single" w:sz="4" w:space="4" w:color="auto"/>
              </w:pBdr>
              <w:spacing w:before="120" w:after="60"/>
              <w:jc w:val="both"/>
              <w:rPr>
                <w:sz w:val="22"/>
                <w:szCs w:val="22"/>
              </w:rPr>
            </w:pPr>
            <w:proofErr w:type="gramStart"/>
            <w:r w:rsidRPr="00C4668B">
              <w:rPr>
                <w:b/>
                <w:sz w:val="22"/>
                <w:szCs w:val="22"/>
              </w:rPr>
              <w:t>supprimer</w:t>
            </w:r>
            <w:proofErr w:type="gramEnd"/>
            <w:r w:rsidRPr="00C4668B">
              <w:rPr>
                <w:sz w:val="22"/>
                <w:szCs w:val="22"/>
              </w:rPr>
              <w:t xml:space="preserve"> toutes les instructions en </w:t>
            </w:r>
            <w:r w:rsidRPr="00C4668B">
              <w:rPr>
                <w:sz w:val="22"/>
                <w:szCs w:val="22"/>
                <w:highlight w:val="yellow"/>
              </w:rPr>
              <w:t>jaune</w:t>
            </w:r>
            <w:r w:rsidRPr="00C4668B">
              <w:rPr>
                <w:sz w:val="22"/>
                <w:szCs w:val="22"/>
              </w:rPr>
              <w:t xml:space="preserve"> et la présente zone de texte </w:t>
            </w:r>
          </w:p>
          <w:p w14:paraId="739D175A" w14:textId="77777777" w:rsidR="00C4668B" w:rsidRPr="00C4668B" w:rsidRDefault="00C4668B" w:rsidP="00C4668B">
            <w:pPr>
              <w:pBdr>
                <w:top w:val="single" w:sz="4" w:space="0" w:color="auto"/>
                <w:left w:val="single" w:sz="4" w:space="4" w:color="auto"/>
                <w:bottom w:val="single" w:sz="4" w:space="1" w:color="auto"/>
                <w:right w:val="single" w:sz="4" w:space="4" w:color="auto"/>
              </w:pBdr>
              <w:spacing w:before="120"/>
              <w:rPr>
                <w:sz w:val="22"/>
                <w:szCs w:val="22"/>
              </w:rPr>
            </w:pPr>
            <w:r w:rsidRPr="00C4668B">
              <w:rPr>
                <w:b/>
                <w:sz w:val="22"/>
                <w:szCs w:val="22"/>
              </w:rPr>
              <w:t>Le libellé standard</w:t>
            </w:r>
            <w:r w:rsidRPr="00C4668B">
              <w:rPr>
                <w:sz w:val="22"/>
                <w:szCs w:val="22"/>
              </w:rPr>
              <w:t xml:space="preserve"> ne peut être modifié que dans des cas exceptionnels et après consultation préalable de l’unité de contrôle de l’audit INTPA.R.3. La présente version s’applique à compter de la date de publication aux contrats d’audit signés à partir du 01/12/2023.</w:t>
            </w:r>
          </w:p>
          <w:p w14:paraId="6C95CC22" w14:textId="77777777" w:rsidR="00C4668B" w:rsidRPr="00C4668B" w:rsidRDefault="00C4668B" w:rsidP="00C4668B">
            <w:pPr>
              <w:pBdr>
                <w:top w:val="single" w:sz="4" w:space="0" w:color="auto"/>
                <w:left w:val="single" w:sz="4" w:space="4" w:color="auto"/>
                <w:bottom w:val="single" w:sz="4" w:space="1" w:color="auto"/>
                <w:right w:val="single" w:sz="4" w:space="4" w:color="auto"/>
              </w:pBdr>
            </w:pPr>
          </w:p>
          <w:p w14:paraId="49C518AE" w14:textId="77777777" w:rsidR="00C4668B" w:rsidRPr="00C4668B" w:rsidRDefault="00C4668B" w:rsidP="00C4668B"/>
          <w:p w14:paraId="36A2C144" w14:textId="77777777" w:rsidR="00C4668B" w:rsidRPr="00C4668B" w:rsidRDefault="00C4668B" w:rsidP="007E7896">
            <w:pPr>
              <w:rPr>
                <w:sz w:val="22"/>
                <w:szCs w:val="22"/>
              </w:rPr>
            </w:pPr>
          </w:p>
          <w:p w14:paraId="3CB285DC" w14:textId="77777777" w:rsidR="00C4668B" w:rsidRPr="00C4668B" w:rsidRDefault="00C4668B" w:rsidP="007E7896">
            <w:pPr>
              <w:rPr>
                <w:sz w:val="22"/>
                <w:szCs w:val="22"/>
              </w:rPr>
            </w:pPr>
          </w:p>
          <w:p w14:paraId="5EC7F437" w14:textId="77777777" w:rsidR="00156B9A" w:rsidRPr="00C4668B" w:rsidRDefault="00156B9A" w:rsidP="00C4668B">
            <w:pPr>
              <w:pBdr>
                <w:top w:val="single" w:sz="4" w:space="1" w:color="auto"/>
                <w:left w:val="single" w:sz="4" w:space="4" w:color="auto"/>
                <w:bottom w:val="single" w:sz="4" w:space="1" w:color="auto"/>
                <w:right w:val="single" w:sz="4" w:space="4" w:color="auto"/>
              </w:pBdr>
              <w:rPr>
                <w:sz w:val="22"/>
                <w:szCs w:val="22"/>
              </w:rPr>
            </w:pPr>
          </w:p>
        </w:tc>
      </w:tr>
      <w:tr w:rsidR="00156B9A" w14:paraId="77383C2B" w14:textId="77777777">
        <w:tblPrEx>
          <w:tblCellMar>
            <w:left w:w="108" w:type="dxa"/>
            <w:right w:w="108" w:type="dxa"/>
          </w:tblCellMar>
          <w:tblLook w:val="01E0" w:firstRow="1" w:lastRow="1" w:firstColumn="1" w:lastColumn="1" w:noHBand="0" w:noVBand="0"/>
        </w:tblPrEx>
        <w:trPr>
          <w:gridAfter w:val="1"/>
          <w:wAfter w:w="68" w:type="dxa"/>
          <w:trHeight w:val="300"/>
        </w:trPr>
        <w:tc>
          <w:tcPr>
            <w:tcW w:w="9344" w:type="dxa"/>
            <w:gridSpan w:val="2"/>
            <w:shd w:val="clear" w:color="auto" w:fill="auto"/>
          </w:tcPr>
          <w:p w14:paraId="1E6268A0" w14:textId="167547A6" w:rsidR="00156B9A" w:rsidRDefault="00156B9A">
            <w:pPr>
              <w:jc w:val="center"/>
              <w:rPr>
                <w:b/>
                <w:sz w:val="28"/>
              </w:rPr>
            </w:pPr>
          </w:p>
        </w:tc>
      </w:tr>
    </w:tbl>
    <w:p w14:paraId="1A143769" w14:textId="77777777" w:rsidR="00156B9A" w:rsidRDefault="007A3D90">
      <w:pPr>
        <w:pStyle w:val="P68B1DB1-Normal1"/>
        <w:jc w:val="both"/>
      </w:pPr>
      <w:r>
        <w:br w:type="page"/>
      </w:r>
    </w:p>
    <w:tbl>
      <w:tblPr>
        <w:tblW w:w="0" w:type="auto"/>
        <w:tblBorders>
          <w:top w:val="single" w:sz="4" w:space="0" w:color="auto"/>
          <w:bottom w:val="single" w:sz="4" w:space="0" w:color="auto"/>
          <w:insideH w:val="single" w:sz="4" w:space="0" w:color="auto"/>
          <w:insideV w:val="single" w:sz="4" w:space="0" w:color="auto"/>
        </w:tblBorders>
        <w:tblLook w:val="01E0" w:firstRow="1" w:lastRow="1" w:firstColumn="1" w:lastColumn="1" w:noHBand="0" w:noVBand="0"/>
      </w:tblPr>
      <w:tblGrid>
        <w:gridCol w:w="8528"/>
      </w:tblGrid>
      <w:tr w:rsidR="00156B9A" w14:paraId="4AC2EEDD" w14:textId="77777777">
        <w:tc>
          <w:tcPr>
            <w:tcW w:w="8528" w:type="dxa"/>
            <w:shd w:val="clear" w:color="auto" w:fill="auto"/>
          </w:tcPr>
          <w:p w14:paraId="149E848C" w14:textId="77777777" w:rsidR="00156B9A" w:rsidRDefault="00156B9A">
            <w:pPr>
              <w:jc w:val="both"/>
              <w:rPr>
                <w:rFonts w:ascii="Arial" w:hAnsi="Arial" w:cs="Arial"/>
                <w:b/>
                <w:sz w:val="28"/>
              </w:rPr>
            </w:pPr>
          </w:p>
          <w:p w14:paraId="204FBAB0" w14:textId="77777777" w:rsidR="00156B9A" w:rsidRDefault="007A3D90">
            <w:pPr>
              <w:pStyle w:val="P68B1DB1-Normal10"/>
              <w:jc w:val="both"/>
            </w:pPr>
            <w:r>
              <w:t>Table des matières</w:t>
            </w:r>
          </w:p>
          <w:p w14:paraId="2DB9C4E2" w14:textId="77777777" w:rsidR="00156B9A" w:rsidRDefault="00156B9A">
            <w:pPr>
              <w:jc w:val="both"/>
              <w:rPr>
                <w:rFonts w:ascii="Arial" w:hAnsi="Arial" w:cs="Arial"/>
                <w:b/>
                <w:sz w:val="28"/>
              </w:rPr>
            </w:pPr>
          </w:p>
        </w:tc>
      </w:tr>
    </w:tbl>
    <w:p w14:paraId="20B2B815" w14:textId="7684C0CA" w:rsidR="00A57604" w:rsidRPr="00A57604" w:rsidRDefault="00A57604">
      <w:pPr>
        <w:pStyle w:val="TOC1"/>
        <w:rPr>
          <w:rFonts w:ascii="Calibri" w:hAnsi="Calibri"/>
          <w:b w:val="0"/>
          <w:caps w:val="0"/>
          <w:noProof/>
          <w:kern w:val="2"/>
          <w:sz w:val="22"/>
          <w:szCs w:val="22"/>
          <w:lang w:val="en-IE"/>
        </w:rPr>
      </w:pPr>
      <w:r>
        <w:fldChar w:fldCharType="begin"/>
      </w:r>
      <w:r>
        <w:instrText xml:space="preserve"> TOC \o "1-3" \h \z \u </w:instrText>
      </w:r>
      <w:r>
        <w:fldChar w:fldCharType="separate"/>
      </w:r>
    </w:p>
    <w:p w14:paraId="034CC5F0" w14:textId="0E46D16C" w:rsidR="00A57604" w:rsidRPr="00A57604" w:rsidRDefault="002444E5">
      <w:pPr>
        <w:pStyle w:val="TOC1"/>
        <w:rPr>
          <w:rFonts w:ascii="Calibri" w:hAnsi="Calibri"/>
          <w:b w:val="0"/>
          <w:caps w:val="0"/>
          <w:noProof/>
          <w:kern w:val="2"/>
          <w:sz w:val="22"/>
          <w:szCs w:val="22"/>
          <w:lang w:val="en-IE"/>
        </w:rPr>
      </w:pPr>
      <w:hyperlink w:anchor="_Toc183186318" w:history="1">
        <w:r w:rsidR="00A57604" w:rsidRPr="00AA1459">
          <w:rPr>
            <w:rStyle w:val="Hyperlink"/>
            <w:noProof/>
          </w:rPr>
          <w:t>1</w:t>
        </w:r>
        <w:r w:rsidR="00A57604" w:rsidRPr="00A57604">
          <w:rPr>
            <w:rFonts w:ascii="Calibri" w:hAnsi="Calibri"/>
            <w:b w:val="0"/>
            <w:caps w:val="0"/>
            <w:noProof/>
            <w:kern w:val="2"/>
            <w:sz w:val="22"/>
            <w:szCs w:val="22"/>
            <w:lang w:val="en-IE"/>
          </w:rPr>
          <w:tab/>
        </w:r>
        <w:r w:rsidR="00A57604" w:rsidRPr="00AA1459">
          <w:rPr>
            <w:rStyle w:val="Hyperlink"/>
            <w:noProof/>
          </w:rPr>
          <w:t>Introduction</w:t>
        </w:r>
        <w:r w:rsidR="00A57604">
          <w:rPr>
            <w:noProof/>
            <w:webHidden/>
          </w:rPr>
          <w:tab/>
        </w:r>
        <w:r w:rsidR="00A57604">
          <w:rPr>
            <w:noProof/>
            <w:webHidden/>
          </w:rPr>
          <w:fldChar w:fldCharType="begin"/>
        </w:r>
        <w:r w:rsidR="00A57604">
          <w:rPr>
            <w:noProof/>
            <w:webHidden/>
          </w:rPr>
          <w:instrText xml:space="preserve"> PAGEREF _Toc183186318 \h </w:instrText>
        </w:r>
        <w:r w:rsidR="00A57604">
          <w:rPr>
            <w:noProof/>
            <w:webHidden/>
          </w:rPr>
        </w:r>
        <w:r w:rsidR="00A57604">
          <w:rPr>
            <w:noProof/>
            <w:webHidden/>
          </w:rPr>
          <w:fldChar w:fldCharType="separate"/>
        </w:r>
        <w:r w:rsidR="00A57604">
          <w:rPr>
            <w:noProof/>
            <w:webHidden/>
          </w:rPr>
          <w:t>6</w:t>
        </w:r>
        <w:r w:rsidR="00A57604">
          <w:rPr>
            <w:noProof/>
            <w:webHidden/>
          </w:rPr>
          <w:fldChar w:fldCharType="end"/>
        </w:r>
      </w:hyperlink>
    </w:p>
    <w:p w14:paraId="33524687" w14:textId="74C288F0" w:rsidR="00A57604" w:rsidRPr="00A57604" w:rsidRDefault="002444E5">
      <w:pPr>
        <w:pStyle w:val="TOC1"/>
        <w:rPr>
          <w:rFonts w:ascii="Calibri" w:hAnsi="Calibri"/>
          <w:b w:val="0"/>
          <w:caps w:val="0"/>
          <w:noProof/>
          <w:kern w:val="2"/>
          <w:sz w:val="22"/>
          <w:szCs w:val="22"/>
          <w:lang w:val="en-IE"/>
        </w:rPr>
      </w:pPr>
      <w:hyperlink w:anchor="_Toc183186319" w:history="1">
        <w:r w:rsidR="00A57604" w:rsidRPr="00AA1459">
          <w:rPr>
            <w:rStyle w:val="Hyperlink"/>
            <w:noProof/>
          </w:rPr>
          <w:t>2</w:t>
        </w:r>
        <w:r w:rsidR="00A57604" w:rsidRPr="00A57604">
          <w:rPr>
            <w:rFonts w:ascii="Calibri" w:hAnsi="Calibri"/>
            <w:b w:val="0"/>
            <w:caps w:val="0"/>
            <w:noProof/>
            <w:kern w:val="2"/>
            <w:sz w:val="22"/>
            <w:szCs w:val="22"/>
            <w:lang w:val="en-IE"/>
          </w:rPr>
          <w:tab/>
        </w:r>
        <w:r w:rsidR="00A57604" w:rsidRPr="00AA1459">
          <w:rPr>
            <w:rStyle w:val="Hyperlink"/>
            <w:noProof/>
          </w:rPr>
          <w:t>Objectifs et contexte</w:t>
        </w:r>
        <w:r w:rsidR="00A57604">
          <w:rPr>
            <w:noProof/>
            <w:webHidden/>
          </w:rPr>
          <w:tab/>
        </w:r>
        <w:r w:rsidR="00A57604">
          <w:rPr>
            <w:noProof/>
            <w:webHidden/>
          </w:rPr>
          <w:fldChar w:fldCharType="begin"/>
        </w:r>
        <w:r w:rsidR="00A57604">
          <w:rPr>
            <w:noProof/>
            <w:webHidden/>
          </w:rPr>
          <w:instrText xml:space="preserve"> PAGEREF _Toc183186319 \h </w:instrText>
        </w:r>
        <w:r w:rsidR="00A57604">
          <w:rPr>
            <w:noProof/>
            <w:webHidden/>
          </w:rPr>
        </w:r>
        <w:r w:rsidR="00A57604">
          <w:rPr>
            <w:noProof/>
            <w:webHidden/>
          </w:rPr>
          <w:fldChar w:fldCharType="separate"/>
        </w:r>
        <w:r w:rsidR="00A57604">
          <w:rPr>
            <w:noProof/>
            <w:webHidden/>
          </w:rPr>
          <w:t>6</w:t>
        </w:r>
        <w:r w:rsidR="00A57604">
          <w:rPr>
            <w:noProof/>
            <w:webHidden/>
          </w:rPr>
          <w:fldChar w:fldCharType="end"/>
        </w:r>
      </w:hyperlink>
    </w:p>
    <w:p w14:paraId="766887AD" w14:textId="31E27A12" w:rsidR="00A57604" w:rsidRPr="00A57604" w:rsidRDefault="002444E5">
      <w:pPr>
        <w:pStyle w:val="TOC1"/>
        <w:rPr>
          <w:rFonts w:ascii="Calibri" w:hAnsi="Calibri"/>
          <w:b w:val="0"/>
          <w:caps w:val="0"/>
          <w:noProof/>
          <w:kern w:val="2"/>
          <w:sz w:val="22"/>
          <w:szCs w:val="22"/>
          <w:lang w:val="en-IE"/>
        </w:rPr>
      </w:pPr>
      <w:hyperlink w:anchor="_Toc183186320" w:history="1">
        <w:r w:rsidR="00A57604" w:rsidRPr="00AA1459">
          <w:rPr>
            <w:rStyle w:val="Hyperlink"/>
            <w:noProof/>
          </w:rPr>
          <w:t>3</w:t>
        </w:r>
        <w:r w:rsidR="00A57604" w:rsidRPr="00A57604">
          <w:rPr>
            <w:rFonts w:ascii="Calibri" w:hAnsi="Calibri"/>
            <w:b w:val="0"/>
            <w:caps w:val="0"/>
            <w:noProof/>
            <w:kern w:val="2"/>
            <w:sz w:val="22"/>
            <w:szCs w:val="22"/>
            <w:lang w:val="en-IE"/>
          </w:rPr>
          <w:tab/>
        </w:r>
        <w:r w:rsidR="00A57604" w:rsidRPr="00AA1459">
          <w:rPr>
            <w:rStyle w:val="Hyperlink"/>
            <w:noProof/>
          </w:rPr>
          <w:t>Normes et éthique</w:t>
        </w:r>
        <w:r w:rsidR="00A57604">
          <w:rPr>
            <w:noProof/>
            <w:webHidden/>
          </w:rPr>
          <w:tab/>
        </w:r>
        <w:r w:rsidR="00A57604">
          <w:rPr>
            <w:noProof/>
            <w:webHidden/>
          </w:rPr>
          <w:fldChar w:fldCharType="begin"/>
        </w:r>
        <w:r w:rsidR="00A57604">
          <w:rPr>
            <w:noProof/>
            <w:webHidden/>
          </w:rPr>
          <w:instrText xml:space="preserve"> PAGEREF _Toc183186320 \h </w:instrText>
        </w:r>
        <w:r w:rsidR="00A57604">
          <w:rPr>
            <w:noProof/>
            <w:webHidden/>
          </w:rPr>
        </w:r>
        <w:r w:rsidR="00A57604">
          <w:rPr>
            <w:noProof/>
            <w:webHidden/>
          </w:rPr>
          <w:fldChar w:fldCharType="separate"/>
        </w:r>
        <w:r w:rsidR="00A57604">
          <w:rPr>
            <w:noProof/>
            <w:webHidden/>
          </w:rPr>
          <w:t>6</w:t>
        </w:r>
        <w:r w:rsidR="00A57604">
          <w:rPr>
            <w:noProof/>
            <w:webHidden/>
          </w:rPr>
          <w:fldChar w:fldCharType="end"/>
        </w:r>
      </w:hyperlink>
    </w:p>
    <w:p w14:paraId="2329F880" w14:textId="25C4CA5B" w:rsidR="00A57604" w:rsidRPr="00A57604" w:rsidRDefault="002444E5">
      <w:pPr>
        <w:pStyle w:val="TOC1"/>
        <w:rPr>
          <w:rFonts w:ascii="Calibri" w:hAnsi="Calibri"/>
          <w:b w:val="0"/>
          <w:caps w:val="0"/>
          <w:noProof/>
          <w:kern w:val="2"/>
          <w:sz w:val="22"/>
          <w:szCs w:val="22"/>
          <w:lang w:val="en-IE"/>
        </w:rPr>
      </w:pPr>
      <w:hyperlink w:anchor="_Toc183186321" w:history="1">
        <w:r w:rsidR="00A57604" w:rsidRPr="00AA1459">
          <w:rPr>
            <w:rStyle w:val="Hyperlink"/>
            <w:noProof/>
          </w:rPr>
          <w:t>4</w:t>
        </w:r>
        <w:r w:rsidR="00A57604" w:rsidRPr="00A57604">
          <w:rPr>
            <w:rFonts w:ascii="Calibri" w:hAnsi="Calibri"/>
            <w:b w:val="0"/>
            <w:caps w:val="0"/>
            <w:noProof/>
            <w:kern w:val="2"/>
            <w:sz w:val="22"/>
            <w:szCs w:val="22"/>
            <w:lang w:val="en-IE"/>
          </w:rPr>
          <w:tab/>
        </w:r>
        <w:r w:rsidR="00A57604" w:rsidRPr="00AA1459">
          <w:rPr>
            <w:rStyle w:val="Hyperlink"/>
            <w:noProof/>
          </w:rPr>
          <w:t>Exigences applicables au praticien</w:t>
        </w:r>
        <w:r w:rsidR="00A57604">
          <w:rPr>
            <w:noProof/>
            <w:webHidden/>
          </w:rPr>
          <w:tab/>
        </w:r>
        <w:r w:rsidR="00A57604">
          <w:rPr>
            <w:noProof/>
            <w:webHidden/>
          </w:rPr>
          <w:fldChar w:fldCharType="begin"/>
        </w:r>
        <w:r w:rsidR="00A57604">
          <w:rPr>
            <w:noProof/>
            <w:webHidden/>
          </w:rPr>
          <w:instrText xml:space="preserve"> PAGEREF _Toc183186321 \h </w:instrText>
        </w:r>
        <w:r w:rsidR="00A57604">
          <w:rPr>
            <w:noProof/>
            <w:webHidden/>
          </w:rPr>
        </w:r>
        <w:r w:rsidR="00A57604">
          <w:rPr>
            <w:noProof/>
            <w:webHidden/>
          </w:rPr>
          <w:fldChar w:fldCharType="separate"/>
        </w:r>
        <w:r w:rsidR="00A57604">
          <w:rPr>
            <w:noProof/>
            <w:webHidden/>
          </w:rPr>
          <w:t>6</w:t>
        </w:r>
        <w:r w:rsidR="00A57604">
          <w:rPr>
            <w:noProof/>
            <w:webHidden/>
          </w:rPr>
          <w:fldChar w:fldCharType="end"/>
        </w:r>
      </w:hyperlink>
    </w:p>
    <w:p w14:paraId="1C2F1BB2" w14:textId="48D4235B" w:rsidR="00A57604" w:rsidRPr="00A57604" w:rsidRDefault="002444E5">
      <w:pPr>
        <w:pStyle w:val="TOC2"/>
        <w:rPr>
          <w:rFonts w:ascii="Calibri" w:hAnsi="Calibri"/>
          <w:smallCaps w:val="0"/>
          <w:noProof/>
          <w:kern w:val="2"/>
          <w:sz w:val="22"/>
          <w:szCs w:val="22"/>
          <w:lang w:val="en-IE"/>
        </w:rPr>
      </w:pPr>
      <w:hyperlink w:anchor="_Toc183186322" w:history="1">
        <w:r w:rsidR="00A57604" w:rsidRPr="00AA1459">
          <w:rPr>
            <w:rStyle w:val="Hyperlink"/>
            <w:noProof/>
          </w:rPr>
          <w:t>4.1</w:t>
        </w:r>
        <w:r w:rsidR="00A57604" w:rsidRPr="00A57604">
          <w:rPr>
            <w:rFonts w:ascii="Calibri" w:hAnsi="Calibri"/>
            <w:smallCaps w:val="0"/>
            <w:noProof/>
            <w:kern w:val="2"/>
            <w:sz w:val="22"/>
            <w:szCs w:val="22"/>
            <w:lang w:val="en-IE"/>
          </w:rPr>
          <w:tab/>
        </w:r>
        <w:r w:rsidR="00A57604" w:rsidRPr="00AA1459">
          <w:rPr>
            <w:rStyle w:val="Hyperlink"/>
            <w:noProof/>
          </w:rPr>
          <w:t>Principes généraux</w:t>
        </w:r>
        <w:r w:rsidR="00A57604">
          <w:rPr>
            <w:noProof/>
            <w:webHidden/>
          </w:rPr>
          <w:tab/>
        </w:r>
        <w:r w:rsidR="00A57604">
          <w:rPr>
            <w:noProof/>
            <w:webHidden/>
          </w:rPr>
          <w:fldChar w:fldCharType="begin"/>
        </w:r>
        <w:r w:rsidR="00A57604">
          <w:rPr>
            <w:noProof/>
            <w:webHidden/>
          </w:rPr>
          <w:instrText xml:space="preserve"> PAGEREF _Toc183186322 \h </w:instrText>
        </w:r>
        <w:r w:rsidR="00A57604">
          <w:rPr>
            <w:noProof/>
            <w:webHidden/>
          </w:rPr>
        </w:r>
        <w:r w:rsidR="00A57604">
          <w:rPr>
            <w:noProof/>
            <w:webHidden/>
          </w:rPr>
          <w:fldChar w:fldCharType="separate"/>
        </w:r>
        <w:r w:rsidR="00A57604">
          <w:rPr>
            <w:noProof/>
            <w:webHidden/>
          </w:rPr>
          <w:t>6</w:t>
        </w:r>
        <w:r w:rsidR="00A57604">
          <w:rPr>
            <w:noProof/>
            <w:webHidden/>
          </w:rPr>
          <w:fldChar w:fldCharType="end"/>
        </w:r>
      </w:hyperlink>
    </w:p>
    <w:p w14:paraId="5646434B" w14:textId="0D7132F1" w:rsidR="00A57604" w:rsidRPr="00A57604" w:rsidRDefault="002444E5">
      <w:pPr>
        <w:pStyle w:val="TOC2"/>
        <w:rPr>
          <w:rFonts w:ascii="Calibri" w:hAnsi="Calibri"/>
          <w:smallCaps w:val="0"/>
          <w:noProof/>
          <w:kern w:val="2"/>
          <w:sz w:val="22"/>
          <w:szCs w:val="22"/>
          <w:lang w:val="en-IE"/>
        </w:rPr>
      </w:pPr>
      <w:hyperlink w:anchor="_Toc183186323" w:history="1">
        <w:r w:rsidR="00A57604" w:rsidRPr="00AA1459">
          <w:rPr>
            <w:rStyle w:val="Hyperlink"/>
            <w:noProof/>
          </w:rPr>
          <w:t>4.2</w:t>
        </w:r>
        <w:r w:rsidR="00A57604" w:rsidRPr="00A57604">
          <w:rPr>
            <w:rFonts w:ascii="Calibri" w:hAnsi="Calibri"/>
            <w:smallCaps w:val="0"/>
            <w:noProof/>
            <w:kern w:val="2"/>
            <w:sz w:val="22"/>
            <w:szCs w:val="22"/>
            <w:lang w:val="en-IE"/>
          </w:rPr>
          <w:tab/>
        </w:r>
        <w:r w:rsidR="00A57604" w:rsidRPr="00AA1459">
          <w:rPr>
            <w:rStyle w:val="Hyperlink"/>
            <w:noProof/>
          </w:rPr>
          <w:t>Qualifications, expérience et composition de l’équipe</w:t>
        </w:r>
        <w:r w:rsidR="00A57604">
          <w:rPr>
            <w:noProof/>
            <w:webHidden/>
          </w:rPr>
          <w:tab/>
        </w:r>
        <w:r w:rsidR="00A57604">
          <w:rPr>
            <w:noProof/>
            <w:webHidden/>
          </w:rPr>
          <w:fldChar w:fldCharType="begin"/>
        </w:r>
        <w:r w:rsidR="00A57604">
          <w:rPr>
            <w:noProof/>
            <w:webHidden/>
          </w:rPr>
          <w:instrText xml:space="preserve"> PAGEREF _Toc183186323 \h </w:instrText>
        </w:r>
        <w:r w:rsidR="00A57604">
          <w:rPr>
            <w:noProof/>
            <w:webHidden/>
          </w:rPr>
        </w:r>
        <w:r w:rsidR="00A57604">
          <w:rPr>
            <w:noProof/>
            <w:webHidden/>
          </w:rPr>
          <w:fldChar w:fldCharType="separate"/>
        </w:r>
        <w:r w:rsidR="00A57604">
          <w:rPr>
            <w:noProof/>
            <w:webHidden/>
          </w:rPr>
          <w:t>7</w:t>
        </w:r>
        <w:r w:rsidR="00A57604">
          <w:rPr>
            <w:noProof/>
            <w:webHidden/>
          </w:rPr>
          <w:fldChar w:fldCharType="end"/>
        </w:r>
      </w:hyperlink>
    </w:p>
    <w:p w14:paraId="609086F6" w14:textId="0F93BDC0"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24" w:history="1">
        <w:r w:rsidR="00A57604" w:rsidRPr="00AA1459">
          <w:rPr>
            <w:rStyle w:val="Hyperlink"/>
            <w:bCs/>
            <w:noProof/>
          </w:rPr>
          <w:t>4.2.1</w:t>
        </w:r>
        <w:r w:rsidR="00A57604" w:rsidRPr="00A57604">
          <w:rPr>
            <w:rFonts w:ascii="Calibri" w:hAnsi="Calibri"/>
            <w:i w:val="0"/>
            <w:noProof/>
            <w:kern w:val="2"/>
            <w:sz w:val="22"/>
            <w:szCs w:val="22"/>
            <w:lang w:val="en-IE"/>
          </w:rPr>
          <w:tab/>
        </w:r>
        <w:r w:rsidR="00A57604" w:rsidRPr="00AA1459">
          <w:rPr>
            <w:rStyle w:val="Hyperlink"/>
            <w:noProof/>
          </w:rPr>
          <w:t>Qualifications et expérience</w:t>
        </w:r>
        <w:r w:rsidR="00A57604">
          <w:rPr>
            <w:noProof/>
            <w:webHidden/>
          </w:rPr>
          <w:tab/>
        </w:r>
        <w:r w:rsidR="00A57604">
          <w:rPr>
            <w:noProof/>
            <w:webHidden/>
          </w:rPr>
          <w:fldChar w:fldCharType="begin"/>
        </w:r>
        <w:r w:rsidR="00A57604">
          <w:rPr>
            <w:noProof/>
            <w:webHidden/>
          </w:rPr>
          <w:instrText xml:space="preserve"> PAGEREF _Toc183186324 \h </w:instrText>
        </w:r>
        <w:r w:rsidR="00A57604">
          <w:rPr>
            <w:noProof/>
            <w:webHidden/>
          </w:rPr>
        </w:r>
        <w:r w:rsidR="00A57604">
          <w:rPr>
            <w:noProof/>
            <w:webHidden/>
          </w:rPr>
          <w:fldChar w:fldCharType="separate"/>
        </w:r>
        <w:r w:rsidR="00A57604">
          <w:rPr>
            <w:noProof/>
            <w:webHidden/>
          </w:rPr>
          <w:t>7</w:t>
        </w:r>
        <w:r w:rsidR="00A57604">
          <w:rPr>
            <w:noProof/>
            <w:webHidden/>
          </w:rPr>
          <w:fldChar w:fldCharType="end"/>
        </w:r>
      </w:hyperlink>
    </w:p>
    <w:p w14:paraId="239668BB" w14:textId="4914C43D"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25" w:history="1">
        <w:r w:rsidR="00A57604" w:rsidRPr="00AA1459">
          <w:rPr>
            <w:rStyle w:val="Hyperlink"/>
            <w:bCs/>
            <w:noProof/>
          </w:rPr>
          <w:t>4.2.2</w:t>
        </w:r>
        <w:r w:rsidR="00A57604" w:rsidRPr="00A57604">
          <w:rPr>
            <w:rFonts w:ascii="Calibri" w:hAnsi="Calibri"/>
            <w:i w:val="0"/>
            <w:noProof/>
            <w:kern w:val="2"/>
            <w:sz w:val="22"/>
            <w:szCs w:val="22"/>
            <w:lang w:val="en-IE"/>
          </w:rPr>
          <w:tab/>
        </w:r>
        <w:r w:rsidR="00A57604" w:rsidRPr="00AA1459">
          <w:rPr>
            <w:rStyle w:val="Hyperlink"/>
            <w:noProof/>
          </w:rPr>
          <w:t>Composition de l’équipe</w:t>
        </w:r>
        <w:r w:rsidR="00A57604">
          <w:rPr>
            <w:noProof/>
            <w:webHidden/>
          </w:rPr>
          <w:tab/>
        </w:r>
        <w:r w:rsidR="00A57604">
          <w:rPr>
            <w:noProof/>
            <w:webHidden/>
          </w:rPr>
          <w:fldChar w:fldCharType="begin"/>
        </w:r>
        <w:r w:rsidR="00A57604">
          <w:rPr>
            <w:noProof/>
            <w:webHidden/>
          </w:rPr>
          <w:instrText xml:space="preserve"> PAGEREF _Toc183186325 \h </w:instrText>
        </w:r>
        <w:r w:rsidR="00A57604">
          <w:rPr>
            <w:noProof/>
            <w:webHidden/>
          </w:rPr>
        </w:r>
        <w:r w:rsidR="00A57604">
          <w:rPr>
            <w:noProof/>
            <w:webHidden/>
          </w:rPr>
          <w:fldChar w:fldCharType="separate"/>
        </w:r>
        <w:r w:rsidR="00A57604">
          <w:rPr>
            <w:noProof/>
            <w:webHidden/>
          </w:rPr>
          <w:t>8</w:t>
        </w:r>
        <w:r w:rsidR="00A57604">
          <w:rPr>
            <w:noProof/>
            <w:webHidden/>
          </w:rPr>
          <w:fldChar w:fldCharType="end"/>
        </w:r>
      </w:hyperlink>
    </w:p>
    <w:p w14:paraId="5C3C8DD9" w14:textId="4DC2EAC1"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26" w:history="1">
        <w:r w:rsidR="00A57604" w:rsidRPr="00AA1459">
          <w:rPr>
            <w:rStyle w:val="Hyperlink"/>
            <w:bCs/>
            <w:noProof/>
          </w:rPr>
          <w:t>4.2.3</w:t>
        </w:r>
        <w:r w:rsidR="00A57604" w:rsidRPr="00A57604">
          <w:rPr>
            <w:rFonts w:ascii="Calibri" w:hAnsi="Calibri"/>
            <w:i w:val="0"/>
            <w:noProof/>
            <w:kern w:val="2"/>
            <w:sz w:val="22"/>
            <w:szCs w:val="22"/>
            <w:lang w:val="en-IE"/>
          </w:rPr>
          <w:tab/>
        </w:r>
        <w:r w:rsidR="00A57604" w:rsidRPr="00AA1459">
          <w:rPr>
            <w:rStyle w:val="Hyperlink"/>
            <w:noProof/>
          </w:rPr>
          <w:t>Curriculum vitae (CV)</w:t>
        </w:r>
        <w:r w:rsidR="00A57604">
          <w:rPr>
            <w:noProof/>
            <w:webHidden/>
          </w:rPr>
          <w:tab/>
        </w:r>
        <w:r w:rsidR="00A57604">
          <w:rPr>
            <w:noProof/>
            <w:webHidden/>
          </w:rPr>
          <w:fldChar w:fldCharType="begin"/>
        </w:r>
        <w:r w:rsidR="00A57604">
          <w:rPr>
            <w:noProof/>
            <w:webHidden/>
          </w:rPr>
          <w:instrText xml:space="preserve"> PAGEREF _Toc183186326 \h </w:instrText>
        </w:r>
        <w:r w:rsidR="00A57604">
          <w:rPr>
            <w:noProof/>
            <w:webHidden/>
          </w:rPr>
        </w:r>
        <w:r w:rsidR="00A57604">
          <w:rPr>
            <w:noProof/>
            <w:webHidden/>
          </w:rPr>
          <w:fldChar w:fldCharType="separate"/>
        </w:r>
        <w:r w:rsidR="00A57604">
          <w:rPr>
            <w:noProof/>
            <w:webHidden/>
          </w:rPr>
          <w:t>8</w:t>
        </w:r>
        <w:r w:rsidR="00A57604">
          <w:rPr>
            <w:noProof/>
            <w:webHidden/>
          </w:rPr>
          <w:fldChar w:fldCharType="end"/>
        </w:r>
      </w:hyperlink>
    </w:p>
    <w:p w14:paraId="1A1A955A" w14:textId="1B0755CB" w:rsidR="00A57604" w:rsidRPr="00A57604" w:rsidRDefault="002444E5">
      <w:pPr>
        <w:pStyle w:val="TOC1"/>
        <w:rPr>
          <w:rFonts w:ascii="Calibri" w:hAnsi="Calibri"/>
          <w:b w:val="0"/>
          <w:caps w:val="0"/>
          <w:noProof/>
          <w:kern w:val="2"/>
          <w:sz w:val="22"/>
          <w:szCs w:val="22"/>
          <w:lang w:val="en-IE"/>
        </w:rPr>
      </w:pPr>
      <w:hyperlink w:anchor="_Toc183186327" w:history="1">
        <w:r w:rsidR="00A57604" w:rsidRPr="00AA1459">
          <w:rPr>
            <w:rStyle w:val="Hyperlink"/>
            <w:noProof/>
          </w:rPr>
          <w:t>5</w:t>
        </w:r>
        <w:r w:rsidR="00A57604" w:rsidRPr="00A57604">
          <w:rPr>
            <w:rFonts w:ascii="Calibri" w:hAnsi="Calibri"/>
            <w:b w:val="0"/>
            <w:caps w:val="0"/>
            <w:noProof/>
            <w:kern w:val="2"/>
            <w:sz w:val="22"/>
            <w:szCs w:val="22"/>
            <w:lang w:val="en-IE"/>
          </w:rPr>
          <w:tab/>
        </w:r>
        <w:r w:rsidR="00A57604" w:rsidRPr="00AA1459">
          <w:rPr>
            <w:rStyle w:val="Hyperlink"/>
            <w:noProof/>
          </w:rPr>
          <w:t>Champ d’application</w:t>
        </w:r>
        <w:r w:rsidR="00A57604">
          <w:rPr>
            <w:noProof/>
            <w:webHidden/>
          </w:rPr>
          <w:tab/>
        </w:r>
        <w:r w:rsidR="00A57604">
          <w:rPr>
            <w:noProof/>
            <w:webHidden/>
          </w:rPr>
          <w:fldChar w:fldCharType="begin"/>
        </w:r>
        <w:r w:rsidR="00A57604">
          <w:rPr>
            <w:noProof/>
            <w:webHidden/>
          </w:rPr>
          <w:instrText xml:space="preserve"> PAGEREF _Toc183186327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08E0572B" w14:textId="4578613A" w:rsidR="00A57604" w:rsidRPr="00A57604" w:rsidRDefault="002444E5">
      <w:pPr>
        <w:pStyle w:val="TOC2"/>
        <w:rPr>
          <w:rFonts w:ascii="Calibri" w:hAnsi="Calibri"/>
          <w:smallCaps w:val="0"/>
          <w:noProof/>
          <w:kern w:val="2"/>
          <w:sz w:val="22"/>
          <w:szCs w:val="22"/>
          <w:lang w:val="en-IE"/>
        </w:rPr>
      </w:pPr>
      <w:hyperlink w:anchor="_Toc183186328" w:history="1">
        <w:r w:rsidR="00A57604" w:rsidRPr="00AA1459">
          <w:rPr>
            <w:rStyle w:val="Hyperlink"/>
            <w:noProof/>
          </w:rPr>
          <w:t>5.1</w:t>
        </w:r>
        <w:r w:rsidR="00A57604" w:rsidRPr="00A57604">
          <w:rPr>
            <w:rFonts w:ascii="Calibri" w:hAnsi="Calibri"/>
            <w:smallCaps w:val="0"/>
            <w:noProof/>
            <w:kern w:val="2"/>
            <w:sz w:val="22"/>
            <w:szCs w:val="22"/>
            <w:lang w:val="en-IE"/>
          </w:rPr>
          <w:tab/>
        </w:r>
        <w:r w:rsidR="00A57604" w:rsidRPr="00AA1459">
          <w:rPr>
            <w:rStyle w:val="Hyperlink"/>
            <w:noProof/>
          </w:rPr>
          <w:t>Contrats et rapports financiers couverts par le présent cahier des charges</w:t>
        </w:r>
        <w:r w:rsidR="00A57604">
          <w:rPr>
            <w:noProof/>
            <w:webHidden/>
          </w:rPr>
          <w:tab/>
        </w:r>
        <w:r w:rsidR="00A57604">
          <w:rPr>
            <w:noProof/>
            <w:webHidden/>
          </w:rPr>
          <w:fldChar w:fldCharType="begin"/>
        </w:r>
        <w:r w:rsidR="00A57604">
          <w:rPr>
            <w:noProof/>
            <w:webHidden/>
          </w:rPr>
          <w:instrText xml:space="preserve"> PAGEREF _Toc183186328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217CCC50" w14:textId="635BE99E" w:rsidR="00A57604" w:rsidRPr="00A57604" w:rsidRDefault="002444E5">
      <w:pPr>
        <w:pStyle w:val="TOC2"/>
        <w:rPr>
          <w:rFonts w:ascii="Calibri" w:hAnsi="Calibri"/>
          <w:smallCaps w:val="0"/>
          <w:noProof/>
          <w:kern w:val="2"/>
          <w:sz w:val="22"/>
          <w:szCs w:val="22"/>
          <w:lang w:val="en-IE"/>
        </w:rPr>
      </w:pPr>
      <w:hyperlink w:anchor="_Toc183186329" w:history="1">
        <w:r w:rsidR="00A57604" w:rsidRPr="00AA1459">
          <w:rPr>
            <w:rStyle w:val="Hyperlink"/>
            <w:noProof/>
          </w:rPr>
          <w:t>5.2</w:t>
        </w:r>
        <w:r w:rsidR="00A57604" w:rsidRPr="00A57604">
          <w:rPr>
            <w:rFonts w:ascii="Calibri" w:hAnsi="Calibri"/>
            <w:smallCaps w:val="0"/>
            <w:noProof/>
            <w:kern w:val="2"/>
            <w:sz w:val="22"/>
            <w:szCs w:val="22"/>
            <w:lang w:val="en-IE"/>
          </w:rPr>
          <w:tab/>
        </w:r>
        <w:r w:rsidR="00A57604" w:rsidRPr="00AA1459">
          <w:rPr>
            <w:rStyle w:val="Hyperlink"/>
            <w:noProof/>
          </w:rPr>
          <w:t>Conditions d’éligibilité</w:t>
        </w:r>
        <w:r w:rsidR="00A57604">
          <w:rPr>
            <w:noProof/>
            <w:webHidden/>
          </w:rPr>
          <w:tab/>
        </w:r>
        <w:r w:rsidR="00A57604">
          <w:rPr>
            <w:noProof/>
            <w:webHidden/>
          </w:rPr>
          <w:fldChar w:fldCharType="begin"/>
        </w:r>
        <w:r w:rsidR="00A57604">
          <w:rPr>
            <w:noProof/>
            <w:webHidden/>
          </w:rPr>
          <w:instrText xml:space="preserve"> PAGEREF _Toc183186329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4BB6DBAC" w14:textId="0240DFB0" w:rsidR="00A57604" w:rsidRPr="00A57604" w:rsidRDefault="002444E5">
      <w:pPr>
        <w:pStyle w:val="TOC1"/>
        <w:rPr>
          <w:rFonts w:ascii="Calibri" w:hAnsi="Calibri"/>
          <w:b w:val="0"/>
          <w:caps w:val="0"/>
          <w:noProof/>
          <w:kern w:val="2"/>
          <w:sz w:val="22"/>
          <w:szCs w:val="22"/>
          <w:lang w:val="en-IE"/>
        </w:rPr>
      </w:pPr>
      <w:hyperlink w:anchor="_Toc183186330" w:history="1">
        <w:r w:rsidR="00A57604" w:rsidRPr="00AA1459">
          <w:rPr>
            <w:rStyle w:val="Hyperlink"/>
            <w:noProof/>
          </w:rPr>
          <w:t>6</w:t>
        </w:r>
        <w:r w:rsidR="00A57604" w:rsidRPr="00A57604">
          <w:rPr>
            <w:rFonts w:ascii="Calibri" w:hAnsi="Calibri"/>
            <w:b w:val="0"/>
            <w:caps w:val="0"/>
            <w:noProof/>
            <w:kern w:val="2"/>
            <w:sz w:val="22"/>
            <w:szCs w:val="22"/>
            <w:lang w:val="en-IE"/>
          </w:rPr>
          <w:tab/>
        </w:r>
        <w:r w:rsidR="00A57604" w:rsidRPr="00AA1459">
          <w:rPr>
            <w:rStyle w:val="Hyperlink"/>
            <w:noProof/>
          </w:rPr>
          <w:t>Processus d’ audit et méthodologie</w:t>
        </w:r>
        <w:r w:rsidR="00A57604">
          <w:rPr>
            <w:noProof/>
            <w:webHidden/>
          </w:rPr>
          <w:tab/>
        </w:r>
        <w:r w:rsidR="00A57604">
          <w:rPr>
            <w:noProof/>
            <w:webHidden/>
          </w:rPr>
          <w:fldChar w:fldCharType="begin"/>
        </w:r>
        <w:r w:rsidR="00A57604">
          <w:rPr>
            <w:noProof/>
            <w:webHidden/>
          </w:rPr>
          <w:instrText xml:space="preserve"> PAGEREF _Toc183186330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411641AE" w14:textId="48EE9795" w:rsidR="00A57604" w:rsidRPr="00A57604" w:rsidRDefault="002444E5">
      <w:pPr>
        <w:pStyle w:val="TOC2"/>
        <w:rPr>
          <w:rFonts w:ascii="Calibri" w:hAnsi="Calibri"/>
          <w:smallCaps w:val="0"/>
          <w:noProof/>
          <w:kern w:val="2"/>
          <w:sz w:val="22"/>
          <w:szCs w:val="22"/>
          <w:lang w:val="en-IE"/>
        </w:rPr>
      </w:pPr>
      <w:hyperlink w:anchor="_Toc183186331" w:history="1">
        <w:r w:rsidR="00A57604" w:rsidRPr="00AA1459">
          <w:rPr>
            <w:rStyle w:val="Hyperlink"/>
            <w:noProof/>
          </w:rPr>
          <w:t>6.1</w:t>
        </w:r>
        <w:r w:rsidR="00A57604" w:rsidRPr="00A57604">
          <w:rPr>
            <w:rFonts w:ascii="Calibri" w:hAnsi="Calibri"/>
            <w:smallCaps w:val="0"/>
            <w:noProof/>
            <w:kern w:val="2"/>
            <w:sz w:val="22"/>
            <w:szCs w:val="22"/>
            <w:lang w:val="en-IE"/>
          </w:rPr>
          <w:tab/>
        </w:r>
        <w:r w:rsidR="00A57604" w:rsidRPr="00AA1459">
          <w:rPr>
            <w:rStyle w:val="Hyperlink"/>
            <w:noProof/>
          </w:rPr>
          <w:t>Préparation de l’ audit</w:t>
        </w:r>
        <w:r w:rsidR="00A57604">
          <w:rPr>
            <w:noProof/>
            <w:webHidden/>
          </w:rPr>
          <w:tab/>
        </w:r>
        <w:r w:rsidR="00A57604">
          <w:rPr>
            <w:noProof/>
            <w:webHidden/>
          </w:rPr>
          <w:fldChar w:fldCharType="begin"/>
        </w:r>
        <w:r w:rsidR="00A57604">
          <w:rPr>
            <w:noProof/>
            <w:webHidden/>
          </w:rPr>
          <w:instrText xml:space="preserve"> PAGEREF _Toc183186331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0DE29525" w14:textId="405E9033" w:rsidR="00A57604" w:rsidRPr="00A57604" w:rsidRDefault="002444E5">
      <w:pPr>
        <w:pStyle w:val="TOC2"/>
        <w:rPr>
          <w:rFonts w:ascii="Calibri" w:hAnsi="Calibri"/>
          <w:smallCaps w:val="0"/>
          <w:noProof/>
          <w:kern w:val="2"/>
          <w:sz w:val="22"/>
          <w:szCs w:val="22"/>
          <w:lang w:val="en-IE"/>
        </w:rPr>
      </w:pPr>
      <w:hyperlink w:anchor="_Toc183186332" w:history="1">
        <w:r w:rsidR="00A57604" w:rsidRPr="00AA1459">
          <w:rPr>
            <w:rStyle w:val="Hyperlink"/>
            <w:noProof/>
          </w:rPr>
          <w:t>6.2</w:t>
        </w:r>
        <w:r w:rsidR="00A57604" w:rsidRPr="00A57604">
          <w:rPr>
            <w:rFonts w:ascii="Calibri" w:hAnsi="Calibri"/>
            <w:smallCaps w:val="0"/>
            <w:noProof/>
            <w:kern w:val="2"/>
            <w:sz w:val="22"/>
            <w:szCs w:val="22"/>
            <w:lang w:val="en-IE"/>
          </w:rPr>
          <w:tab/>
        </w:r>
        <w:r w:rsidR="00A57604" w:rsidRPr="00AA1459">
          <w:rPr>
            <w:rStyle w:val="Hyperlink"/>
            <w:noProof/>
          </w:rPr>
          <w:t>Réunion préparatoire, travail sur le terrain, examen documentaire</w:t>
        </w:r>
        <w:r w:rsidR="00A57604">
          <w:rPr>
            <w:noProof/>
            <w:webHidden/>
          </w:rPr>
          <w:tab/>
        </w:r>
        <w:r w:rsidR="00A57604">
          <w:rPr>
            <w:noProof/>
            <w:webHidden/>
          </w:rPr>
          <w:fldChar w:fldCharType="begin"/>
        </w:r>
        <w:r w:rsidR="00A57604">
          <w:rPr>
            <w:noProof/>
            <w:webHidden/>
          </w:rPr>
          <w:instrText xml:space="preserve"> PAGEREF _Toc183186332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48805341" w14:textId="077D08AD"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3" w:history="1">
        <w:r w:rsidR="00A57604" w:rsidRPr="00AA1459">
          <w:rPr>
            <w:rStyle w:val="Hyperlink"/>
            <w:bCs/>
            <w:noProof/>
          </w:rPr>
          <w:t>6.2.1</w:t>
        </w:r>
        <w:r w:rsidR="00A57604" w:rsidRPr="00A57604">
          <w:rPr>
            <w:rFonts w:ascii="Calibri" w:hAnsi="Calibri"/>
            <w:i w:val="0"/>
            <w:noProof/>
            <w:kern w:val="2"/>
            <w:sz w:val="22"/>
            <w:szCs w:val="22"/>
            <w:lang w:val="en-IE"/>
          </w:rPr>
          <w:tab/>
        </w:r>
        <w:r w:rsidR="00A57604" w:rsidRPr="00AA1459">
          <w:rPr>
            <w:rStyle w:val="Hyperlink"/>
            <w:noProof/>
          </w:rPr>
          <w:t>Contexte de l’engagement</w:t>
        </w:r>
        <w:r w:rsidR="00A57604">
          <w:rPr>
            <w:noProof/>
            <w:webHidden/>
          </w:rPr>
          <w:tab/>
        </w:r>
        <w:r w:rsidR="00A57604">
          <w:rPr>
            <w:noProof/>
            <w:webHidden/>
          </w:rPr>
          <w:fldChar w:fldCharType="begin"/>
        </w:r>
        <w:r w:rsidR="00A57604">
          <w:rPr>
            <w:noProof/>
            <w:webHidden/>
          </w:rPr>
          <w:instrText xml:space="preserve"> PAGEREF _Toc183186333 \h </w:instrText>
        </w:r>
        <w:r w:rsidR="00A57604">
          <w:rPr>
            <w:noProof/>
            <w:webHidden/>
          </w:rPr>
        </w:r>
        <w:r w:rsidR="00A57604">
          <w:rPr>
            <w:noProof/>
            <w:webHidden/>
          </w:rPr>
          <w:fldChar w:fldCharType="separate"/>
        </w:r>
        <w:r w:rsidR="00A57604">
          <w:rPr>
            <w:noProof/>
            <w:webHidden/>
          </w:rPr>
          <w:t>9</w:t>
        </w:r>
        <w:r w:rsidR="00A57604">
          <w:rPr>
            <w:noProof/>
            <w:webHidden/>
          </w:rPr>
          <w:fldChar w:fldCharType="end"/>
        </w:r>
      </w:hyperlink>
    </w:p>
    <w:p w14:paraId="7E06C1E5" w14:textId="79209600"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4" w:history="1">
        <w:r w:rsidR="00A57604" w:rsidRPr="00AA1459">
          <w:rPr>
            <w:rStyle w:val="Hyperlink"/>
            <w:bCs/>
            <w:noProof/>
          </w:rPr>
          <w:t>6.2.2</w:t>
        </w:r>
        <w:r w:rsidR="00A57604" w:rsidRPr="00A57604">
          <w:rPr>
            <w:rFonts w:ascii="Calibri" w:hAnsi="Calibri"/>
            <w:i w:val="0"/>
            <w:noProof/>
            <w:kern w:val="2"/>
            <w:sz w:val="22"/>
            <w:szCs w:val="22"/>
            <w:lang w:val="en-IE"/>
          </w:rPr>
          <w:tab/>
        </w:r>
        <w:r w:rsidR="00A57604" w:rsidRPr="00AA1459">
          <w:rPr>
            <w:rStyle w:val="Hyperlink"/>
            <w:noProof/>
          </w:rPr>
          <w:t>Note de fin de mission et réunion de clôture</w:t>
        </w:r>
        <w:r w:rsidR="00A57604">
          <w:rPr>
            <w:noProof/>
            <w:webHidden/>
          </w:rPr>
          <w:tab/>
        </w:r>
        <w:r w:rsidR="00A57604">
          <w:rPr>
            <w:noProof/>
            <w:webHidden/>
          </w:rPr>
          <w:fldChar w:fldCharType="begin"/>
        </w:r>
        <w:r w:rsidR="00A57604">
          <w:rPr>
            <w:noProof/>
            <w:webHidden/>
          </w:rPr>
          <w:instrText xml:space="preserve"> PAGEREF _Toc183186334 \h </w:instrText>
        </w:r>
        <w:r w:rsidR="00A57604">
          <w:rPr>
            <w:noProof/>
            <w:webHidden/>
          </w:rPr>
        </w:r>
        <w:r w:rsidR="00A57604">
          <w:rPr>
            <w:noProof/>
            <w:webHidden/>
          </w:rPr>
          <w:fldChar w:fldCharType="separate"/>
        </w:r>
        <w:r w:rsidR="00A57604">
          <w:rPr>
            <w:noProof/>
            <w:webHidden/>
          </w:rPr>
          <w:t>11</w:t>
        </w:r>
        <w:r w:rsidR="00A57604">
          <w:rPr>
            <w:noProof/>
            <w:webHidden/>
          </w:rPr>
          <w:fldChar w:fldCharType="end"/>
        </w:r>
      </w:hyperlink>
    </w:p>
    <w:p w14:paraId="644973DD" w14:textId="2677D75E"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5" w:history="1">
        <w:r w:rsidR="00A57604" w:rsidRPr="00AA1459">
          <w:rPr>
            <w:rStyle w:val="Hyperlink"/>
            <w:bCs/>
            <w:noProof/>
          </w:rPr>
          <w:t>6.2.3</w:t>
        </w:r>
        <w:r w:rsidR="00A57604" w:rsidRPr="00A57604">
          <w:rPr>
            <w:rFonts w:ascii="Calibri" w:hAnsi="Calibri"/>
            <w:i w:val="0"/>
            <w:noProof/>
            <w:kern w:val="2"/>
            <w:sz w:val="22"/>
            <w:szCs w:val="22"/>
            <w:lang w:val="en-IE"/>
          </w:rPr>
          <w:tab/>
        </w:r>
        <w:r w:rsidR="00A57604" w:rsidRPr="00AA1459">
          <w:rPr>
            <w:rStyle w:val="Hyperlink"/>
            <w:noProof/>
          </w:rPr>
          <w:t>Lettre complémentaire</w:t>
        </w:r>
        <w:r w:rsidR="00A57604">
          <w:rPr>
            <w:noProof/>
            <w:webHidden/>
          </w:rPr>
          <w:tab/>
        </w:r>
        <w:r w:rsidR="00A57604">
          <w:rPr>
            <w:noProof/>
            <w:webHidden/>
          </w:rPr>
          <w:fldChar w:fldCharType="begin"/>
        </w:r>
        <w:r w:rsidR="00A57604">
          <w:rPr>
            <w:noProof/>
            <w:webHidden/>
          </w:rPr>
          <w:instrText xml:space="preserve"> PAGEREF _Toc183186335 \h </w:instrText>
        </w:r>
        <w:r w:rsidR="00A57604">
          <w:rPr>
            <w:noProof/>
            <w:webHidden/>
          </w:rPr>
        </w:r>
        <w:r w:rsidR="00A57604">
          <w:rPr>
            <w:noProof/>
            <w:webHidden/>
          </w:rPr>
          <w:fldChar w:fldCharType="separate"/>
        </w:r>
        <w:r w:rsidR="00A57604">
          <w:rPr>
            <w:noProof/>
            <w:webHidden/>
          </w:rPr>
          <w:t>11</w:t>
        </w:r>
        <w:r w:rsidR="00A57604">
          <w:rPr>
            <w:noProof/>
            <w:webHidden/>
          </w:rPr>
          <w:fldChar w:fldCharType="end"/>
        </w:r>
      </w:hyperlink>
    </w:p>
    <w:p w14:paraId="70EEC0EB" w14:textId="592461E9"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6" w:history="1">
        <w:r w:rsidR="00A57604" w:rsidRPr="00AA1459">
          <w:rPr>
            <w:rStyle w:val="Hyperlink"/>
            <w:bCs/>
            <w:noProof/>
          </w:rPr>
          <w:t>6.2.4</w:t>
        </w:r>
        <w:r w:rsidR="00A57604" w:rsidRPr="00A57604">
          <w:rPr>
            <w:rFonts w:ascii="Calibri" w:hAnsi="Calibri"/>
            <w:i w:val="0"/>
            <w:noProof/>
            <w:kern w:val="2"/>
            <w:sz w:val="22"/>
            <w:szCs w:val="22"/>
            <w:lang w:val="en-IE"/>
          </w:rPr>
          <w:tab/>
        </w:r>
        <w:r w:rsidR="00A57604" w:rsidRPr="00AA1459">
          <w:rPr>
            <w:rStyle w:val="Hyperlink"/>
            <w:noProof/>
          </w:rPr>
          <w:t>Documentation et informations d</w:t>
        </w:r>
        <w:r w:rsidR="007E7896">
          <w:rPr>
            <w:rStyle w:val="Hyperlink"/>
            <w:noProof/>
          </w:rPr>
          <w:t>’audit</w:t>
        </w:r>
        <w:r w:rsidR="00A57604">
          <w:rPr>
            <w:noProof/>
            <w:webHidden/>
          </w:rPr>
          <w:tab/>
        </w:r>
        <w:r w:rsidR="00A57604">
          <w:rPr>
            <w:noProof/>
            <w:webHidden/>
          </w:rPr>
          <w:fldChar w:fldCharType="begin"/>
        </w:r>
        <w:r w:rsidR="00A57604">
          <w:rPr>
            <w:noProof/>
            <w:webHidden/>
          </w:rPr>
          <w:instrText xml:space="preserve"> PAGEREF _Toc183186336 \h </w:instrText>
        </w:r>
        <w:r w:rsidR="00A57604">
          <w:rPr>
            <w:noProof/>
            <w:webHidden/>
          </w:rPr>
        </w:r>
        <w:r w:rsidR="00A57604">
          <w:rPr>
            <w:noProof/>
            <w:webHidden/>
          </w:rPr>
          <w:fldChar w:fldCharType="separate"/>
        </w:r>
        <w:r w:rsidR="00A57604">
          <w:rPr>
            <w:noProof/>
            <w:webHidden/>
          </w:rPr>
          <w:t>11</w:t>
        </w:r>
        <w:r w:rsidR="00A57604">
          <w:rPr>
            <w:noProof/>
            <w:webHidden/>
          </w:rPr>
          <w:fldChar w:fldCharType="end"/>
        </w:r>
      </w:hyperlink>
    </w:p>
    <w:p w14:paraId="126BFD32" w14:textId="09A52DFD" w:rsidR="00A57604" w:rsidRPr="00A57604" w:rsidRDefault="002444E5">
      <w:pPr>
        <w:pStyle w:val="TOC2"/>
        <w:rPr>
          <w:rFonts w:ascii="Calibri" w:hAnsi="Calibri"/>
          <w:smallCaps w:val="0"/>
          <w:noProof/>
          <w:kern w:val="2"/>
          <w:sz w:val="22"/>
          <w:szCs w:val="22"/>
          <w:lang w:val="en-IE"/>
        </w:rPr>
      </w:pPr>
      <w:hyperlink w:anchor="_Toc183186337" w:history="1">
        <w:r w:rsidR="00A57604" w:rsidRPr="00AA1459">
          <w:rPr>
            <w:rStyle w:val="Hyperlink"/>
            <w:noProof/>
          </w:rPr>
          <w:t>6.3</w:t>
        </w:r>
        <w:r w:rsidR="00A57604" w:rsidRPr="00A57604">
          <w:rPr>
            <w:rFonts w:ascii="Calibri" w:hAnsi="Calibri"/>
            <w:smallCaps w:val="0"/>
            <w:noProof/>
            <w:kern w:val="2"/>
            <w:sz w:val="22"/>
            <w:szCs w:val="22"/>
            <w:lang w:val="en-IE"/>
          </w:rPr>
          <w:tab/>
        </w:r>
        <w:r w:rsidR="00A57604" w:rsidRPr="00AA1459">
          <w:rPr>
            <w:rStyle w:val="Hyperlink"/>
            <w:noProof/>
          </w:rPr>
          <w:t>Rapports</w:t>
        </w:r>
        <w:r w:rsidR="00A57604">
          <w:rPr>
            <w:noProof/>
            <w:webHidden/>
          </w:rPr>
          <w:tab/>
        </w:r>
        <w:r w:rsidR="00A57604">
          <w:rPr>
            <w:noProof/>
            <w:webHidden/>
          </w:rPr>
          <w:fldChar w:fldCharType="begin"/>
        </w:r>
        <w:r w:rsidR="00A57604">
          <w:rPr>
            <w:noProof/>
            <w:webHidden/>
          </w:rPr>
          <w:instrText xml:space="preserve"> PAGEREF _Toc183186337 \h </w:instrText>
        </w:r>
        <w:r w:rsidR="00A57604">
          <w:rPr>
            <w:noProof/>
            <w:webHidden/>
          </w:rPr>
        </w:r>
        <w:r w:rsidR="00A57604">
          <w:rPr>
            <w:noProof/>
            <w:webHidden/>
          </w:rPr>
          <w:fldChar w:fldCharType="separate"/>
        </w:r>
        <w:r w:rsidR="00A57604">
          <w:rPr>
            <w:noProof/>
            <w:webHidden/>
          </w:rPr>
          <w:t>11</w:t>
        </w:r>
        <w:r w:rsidR="00A57604">
          <w:rPr>
            <w:noProof/>
            <w:webHidden/>
          </w:rPr>
          <w:fldChar w:fldCharType="end"/>
        </w:r>
      </w:hyperlink>
    </w:p>
    <w:p w14:paraId="53DD2A86" w14:textId="7BD16B5B"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8" w:history="1">
        <w:r w:rsidR="00A57604" w:rsidRPr="00AA1459">
          <w:rPr>
            <w:rStyle w:val="Hyperlink"/>
            <w:bCs/>
            <w:noProof/>
          </w:rPr>
          <w:t>6.3.1</w:t>
        </w:r>
        <w:r w:rsidR="00A57604" w:rsidRPr="00A57604">
          <w:rPr>
            <w:rFonts w:ascii="Calibri" w:hAnsi="Calibri"/>
            <w:i w:val="0"/>
            <w:noProof/>
            <w:kern w:val="2"/>
            <w:sz w:val="22"/>
            <w:szCs w:val="22"/>
            <w:lang w:val="en-IE"/>
          </w:rPr>
          <w:tab/>
        </w:r>
        <w:r w:rsidR="00A57604" w:rsidRPr="00AA1459">
          <w:rPr>
            <w:rStyle w:val="Hyperlink"/>
            <w:noProof/>
          </w:rPr>
          <w:t>Structure et contenu du rapport</w:t>
        </w:r>
        <w:r w:rsidR="00A57604">
          <w:rPr>
            <w:noProof/>
            <w:webHidden/>
          </w:rPr>
          <w:tab/>
        </w:r>
        <w:r w:rsidR="00A57604">
          <w:rPr>
            <w:noProof/>
            <w:webHidden/>
          </w:rPr>
          <w:fldChar w:fldCharType="begin"/>
        </w:r>
        <w:r w:rsidR="00A57604">
          <w:rPr>
            <w:noProof/>
            <w:webHidden/>
          </w:rPr>
          <w:instrText xml:space="preserve"> PAGEREF _Toc183186338 \h </w:instrText>
        </w:r>
        <w:r w:rsidR="00A57604">
          <w:rPr>
            <w:noProof/>
            <w:webHidden/>
          </w:rPr>
        </w:r>
        <w:r w:rsidR="00A57604">
          <w:rPr>
            <w:noProof/>
            <w:webHidden/>
          </w:rPr>
          <w:fldChar w:fldCharType="separate"/>
        </w:r>
        <w:r w:rsidR="00A57604">
          <w:rPr>
            <w:noProof/>
            <w:webHidden/>
          </w:rPr>
          <w:t>11</w:t>
        </w:r>
        <w:r w:rsidR="00A57604">
          <w:rPr>
            <w:noProof/>
            <w:webHidden/>
          </w:rPr>
          <w:fldChar w:fldCharType="end"/>
        </w:r>
      </w:hyperlink>
    </w:p>
    <w:p w14:paraId="66B53BD5" w14:textId="0685082F"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39" w:history="1">
        <w:r w:rsidR="00A57604" w:rsidRPr="00AA1459">
          <w:rPr>
            <w:rStyle w:val="Hyperlink"/>
            <w:bCs/>
            <w:noProof/>
          </w:rPr>
          <w:t>6.3.2</w:t>
        </w:r>
        <w:r w:rsidR="00A57604" w:rsidRPr="00A57604">
          <w:rPr>
            <w:rFonts w:ascii="Calibri" w:hAnsi="Calibri"/>
            <w:i w:val="0"/>
            <w:noProof/>
            <w:kern w:val="2"/>
            <w:sz w:val="22"/>
            <w:szCs w:val="22"/>
            <w:lang w:val="en-IE"/>
          </w:rPr>
          <w:tab/>
        </w:r>
        <w:r w:rsidR="00A57604" w:rsidRPr="00AA1459">
          <w:rPr>
            <w:rStyle w:val="Hyperlink"/>
            <w:noProof/>
          </w:rPr>
          <w:t>Conclusions et recommandations</w:t>
        </w:r>
        <w:r w:rsidR="00A57604">
          <w:rPr>
            <w:noProof/>
            <w:webHidden/>
          </w:rPr>
          <w:tab/>
        </w:r>
        <w:r w:rsidR="00A57604">
          <w:rPr>
            <w:noProof/>
            <w:webHidden/>
          </w:rPr>
          <w:fldChar w:fldCharType="begin"/>
        </w:r>
        <w:r w:rsidR="00A57604">
          <w:rPr>
            <w:noProof/>
            <w:webHidden/>
          </w:rPr>
          <w:instrText xml:space="preserve"> PAGEREF _Toc183186339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51C53C76" w14:textId="1219CA0C"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40" w:history="1">
        <w:r w:rsidR="00A57604" w:rsidRPr="00AA1459">
          <w:rPr>
            <w:rStyle w:val="Hyperlink"/>
            <w:bCs/>
            <w:noProof/>
          </w:rPr>
          <w:t>6.3.3</w:t>
        </w:r>
        <w:r w:rsidR="00A57604" w:rsidRPr="00A57604">
          <w:rPr>
            <w:rFonts w:ascii="Calibri" w:hAnsi="Calibri"/>
            <w:i w:val="0"/>
            <w:noProof/>
            <w:kern w:val="2"/>
            <w:sz w:val="22"/>
            <w:szCs w:val="22"/>
            <w:lang w:val="en-IE"/>
          </w:rPr>
          <w:tab/>
        </w:r>
        <w:r w:rsidR="00A57604" w:rsidRPr="00AA1459">
          <w:rPr>
            <w:rStyle w:val="Hyperlink"/>
            <w:noProof/>
          </w:rPr>
          <w:t>Réunion de débriefing avec le pouvoir adjudicateur</w:t>
        </w:r>
        <w:r w:rsidR="00A57604">
          <w:rPr>
            <w:noProof/>
            <w:webHidden/>
          </w:rPr>
          <w:tab/>
        </w:r>
        <w:r w:rsidR="00A57604">
          <w:rPr>
            <w:noProof/>
            <w:webHidden/>
          </w:rPr>
          <w:fldChar w:fldCharType="begin"/>
        </w:r>
        <w:r w:rsidR="00A57604">
          <w:rPr>
            <w:noProof/>
            <w:webHidden/>
          </w:rPr>
          <w:instrText xml:space="preserve"> PAGEREF _Toc183186340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16AD4BCB" w14:textId="49CC2C32"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41" w:history="1">
        <w:r w:rsidR="00A57604" w:rsidRPr="00AA1459">
          <w:rPr>
            <w:rStyle w:val="Hyperlink"/>
            <w:bCs/>
            <w:noProof/>
          </w:rPr>
          <w:t>6.3.4</w:t>
        </w:r>
        <w:r w:rsidR="00A57604" w:rsidRPr="00A57604">
          <w:rPr>
            <w:rFonts w:ascii="Calibri" w:hAnsi="Calibri"/>
            <w:i w:val="0"/>
            <w:noProof/>
            <w:kern w:val="2"/>
            <w:sz w:val="22"/>
            <w:szCs w:val="22"/>
            <w:lang w:val="en-IE"/>
          </w:rPr>
          <w:tab/>
        </w:r>
        <w:r w:rsidR="00A57604" w:rsidRPr="00AA1459">
          <w:rPr>
            <w:rStyle w:val="Hyperlink"/>
            <w:noProof/>
          </w:rPr>
          <w:t>Accès aux pièces justificatives</w:t>
        </w:r>
        <w:r w:rsidR="00A57604">
          <w:rPr>
            <w:noProof/>
            <w:webHidden/>
          </w:rPr>
          <w:tab/>
        </w:r>
        <w:r w:rsidR="00A57604">
          <w:rPr>
            <w:noProof/>
            <w:webHidden/>
          </w:rPr>
          <w:fldChar w:fldCharType="begin"/>
        </w:r>
        <w:r w:rsidR="00A57604">
          <w:rPr>
            <w:noProof/>
            <w:webHidden/>
          </w:rPr>
          <w:instrText xml:space="preserve"> PAGEREF _Toc183186341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114164D2" w14:textId="3405CE55" w:rsidR="00A57604" w:rsidRPr="00A57604" w:rsidRDefault="002444E5">
      <w:pPr>
        <w:pStyle w:val="TOC3"/>
        <w:tabs>
          <w:tab w:val="left" w:pos="1200"/>
          <w:tab w:val="right" w:leader="dot" w:pos="8302"/>
        </w:tabs>
        <w:rPr>
          <w:rFonts w:ascii="Calibri" w:hAnsi="Calibri"/>
          <w:i w:val="0"/>
          <w:noProof/>
          <w:kern w:val="2"/>
          <w:sz w:val="22"/>
          <w:szCs w:val="22"/>
          <w:lang w:val="en-IE"/>
        </w:rPr>
      </w:pPr>
      <w:hyperlink w:anchor="_Toc183186342" w:history="1">
        <w:r w:rsidR="00A57604" w:rsidRPr="00AA1459">
          <w:rPr>
            <w:rStyle w:val="Hyperlink"/>
            <w:bCs/>
            <w:noProof/>
          </w:rPr>
          <w:t>6.3.5</w:t>
        </w:r>
        <w:r w:rsidR="00A57604" w:rsidRPr="00A57604">
          <w:rPr>
            <w:rFonts w:ascii="Calibri" w:hAnsi="Calibri"/>
            <w:i w:val="0"/>
            <w:noProof/>
            <w:kern w:val="2"/>
            <w:sz w:val="22"/>
            <w:szCs w:val="22"/>
            <w:lang w:val="en-IE"/>
          </w:rPr>
          <w:tab/>
        </w:r>
        <w:r w:rsidR="00A57604" w:rsidRPr="00AA1459">
          <w:rPr>
            <w:rStyle w:val="Hyperlink"/>
            <w:noProof/>
          </w:rPr>
          <w:t>Avis d’audit</w:t>
        </w:r>
        <w:r w:rsidR="00A57604">
          <w:rPr>
            <w:noProof/>
            <w:webHidden/>
          </w:rPr>
          <w:tab/>
        </w:r>
        <w:r w:rsidR="00A57604">
          <w:rPr>
            <w:noProof/>
            <w:webHidden/>
          </w:rPr>
          <w:fldChar w:fldCharType="begin"/>
        </w:r>
        <w:r w:rsidR="00A57604">
          <w:rPr>
            <w:noProof/>
            <w:webHidden/>
          </w:rPr>
          <w:instrText xml:space="preserve"> PAGEREF _Toc183186342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14C57700" w14:textId="656DA568" w:rsidR="00A57604" w:rsidRPr="00A57604" w:rsidRDefault="002444E5">
      <w:pPr>
        <w:pStyle w:val="TOC1"/>
        <w:rPr>
          <w:rFonts w:ascii="Calibri" w:hAnsi="Calibri"/>
          <w:b w:val="0"/>
          <w:caps w:val="0"/>
          <w:noProof/>
          <w:kern w:val="2"/>
          <w:sz w:val="22"/>
          <w:szCs w:val="22"/>
          <w:lang w:val="en-IE"/>
        </w:rPr>
      </w:pPr>
      <w:hyperlink w:anchor="_Toc183186343" w:history="1">
        <w:r w:rsidR="00A57604" w:rsidRPr="00AA1459">
          <w:rPr>
            <w:rStyle w:val="Hyperlink"/>
            <w:noProof/>
          </w:rPr>
          <w:t>7</w:t>
        </w:r>
        <w:r w:rsidR="00A57604" w:rsidRPr="00A57604">
          <w:rPr>
            <w:rFonts w:ascii="Calibri" w:hAnsi="Calibri"/>
            <w:b w:val="0"/>
            <w:caps w:val="0"/>
            <w:noProof/>
            <w:kern w:val="2"/>
            <w:sz w:val="22"/>
            <w:szCs w:val="22"/>
            <w:lang w:val="en-IE"/>
          </w:rPr>
          <w:tab/>
        </w:r>
        <w:r w:rsidR="00A57604" w:rsidRPr="00AA1459">
          <w:rPr>
            <w:rStyle w:val="Hyperlink"/>
            <w:noProof/>
          </w:rPr>
          <w:t>Autres aspects</w:t>
        </w:r>
        <w:r w:rsidR="00A57604">
          <w:rPr>
            <w:noProof/>
            <w:webHidden/>
          </w:rPr>
          <w:tab/>
        </w:r>
        <w:r w:rsidR="00A57604">
          <w:rPr>
            <w:noProof/>
            <w:webHidden/>
          </w:rPr>
          <w:fldChar w:fldCharType="begin"/>
        </w:r>
        <w:r w:rsidR="00A57604">
          <w:rPr>
            <w:noProof/>
            <w:webHidden/>
          </w:rPr>
          <w:instrText xml:space="preserve"> PAGEREF _Toc183186343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76730301" w14:textId="681E23FA" w:rsidR="00A57604" w:rsidRPr="00A57604" w:rsidRDefault="002444E5">
      <w:pPr>
        <w:pStyle w:val="TOC2"/>
        <w:rPr>
          <w:rFonts w:ascii="Calibri" w:hAnsi="Calibri"/>
          <w:smallCaps w:val="0"/>
          <w:noProof/>
          <w:kern w:val="2"/>
          <w:sz w:val="22"/>
          <w:szCs w:val="22"/>
          <w:lang w:val="en-IE"/>
        </w:rPr>
      </w:pPr>
      <w:hyperlink w:anchor="_Toc183186344" w:history="1">
        <w:r w:rsidR="00A57604" w:rsidRPr="00AA1459">
          <w:rPr>
            <w:rStyle w:val="Hyperlink"/>
            <w:noProof/>
          </w:rPr>
          <w:t>7.1</w:t>
        </w:r>
        <w:r w:rsidR="00A57604" w:rsidRPr="00A57604">
          <w:rPr>
            <w:rFonts w:ascii="Calibri" w:hAnsi="Calibri"/>
            <w:smallCaps w:val="0"/>
            <w:noProof/>
            <w:kern w:val="2"/>
            <w:sz w:val="22"/>
            <w:szCs w:val="22"/>
            <w:lang w:val="en-IE"/>
          </w:rPr>
          <w:tab/>
        </w:r>
        <w:r w:rsidR="00A57604" w:rsidRPr="00AA1459">
          <w:rPr>
            <w:rStyle w:val="Hyperlink"/>
            <w:noProof/>
          </w:rPr>
          <w:t>Procédures contradictoires et suivi</w:t>
        </w:r>
        <w:r w:rsidR="00A57604">
          <w:rPr>
            <w:noProof/>
            <w:webHidden/>
          </w:rPr>
          <w:tab/>
        </w:r>
        <w:r w:rsidR="00A57604">
          <w:rPr>
            <w:noProof/>
            <w:webHidden/>
          </w:rPr>
          <w:fldChar w:fldCharType="begin"/>
        </w:r>
        <w:r w:rsidR="00A57604">
          <w:rPr>
            <w:noProof/>
            <w:webHidden/>
          </w:rPr>
          <w:instrText xml:space="preserve"> PAGEREF _Toc183186344 \h </w:instrText>
        </w:r>
        <w:r w:rsidR="00A57604">
          <w:rPr>
            <w:noProof/>
            <w:webHidden/>
          </w:rPr>
        </w:r>
        <w:r w:rsidR="00A57604">
          <w:rPr>
            <w:noProof/>
            <w:webHidden/>
          </w:rPr>
          <w:fldChar w:fldCharType="separate"/>
        </w:r>
        <w:r w:rsidR="00A57604">
          <w:rPr>
            <w:noProof/>
            <w:webHidden/>
          </w:rPr>
          <w:t>12</w:t>
        </w:r>
        <w:r w:rsidR="00A57604">
          <w:rPr>
            <w:noProof/>
            <w:webHidden/>
          </w:rPr>
          <w:fldChar w:fldCharType="end"/>
        </w:r>
      </w:hyperlink>
    </w:p>
    <w:p w14:paraId="35472C8F" w14:textId="5E7BB4DD" w:rsidR="00A57604" w:rsidRPr="00A57604" w:rsidRDefault="002444E5">
      <w:pPr>
        <w:pStyle w:val="TOC2"/>
        <w:rPr>
          <w:rFonts w:ascii="Calibri" w:hAnsi="Calibri"/>
          <w:smallCaps w:val="0"/>
          <w:noProof/>
          <w:kern w:val="2"/>
          <w:sz w:val="22"/>
          <w:szCs w:val="22"/>
          <w:lang w:val="en-IE"/>
        </w:rPr>
      </w:pPr>
      <w:hyperlink w:anchor="_Toc183186345" w:history="1">
        <w:r w:rsidR="00A57604" w:rsidRPr="00AA1459">
          <w:rPr>
            <w:rStyle w:val="Hyperlink"/>
            <w:noProof/>
          </w:rPr>
          <w:t>7.2</w:t>
        </w:r>
        <w:r w:rsidR="00A57604" w:rsidRPr="00A57604">
          <w:rPr>
            <w:rFonts w:ascii="Calibri" w:hAnsi="Calibri"/>
            <w:smallCaps w:val="0"/>
            <w:noProof/>
            <w:kern w:val="2"/>
            <w:sz w:val="22"/>
            <w:szCs w:val="22"/>
            <w:lang w:val="en-IE"/>
          </w:rPr>
          <w:tab/>
        </w:r>
        <w:r w:rsidR="00A57604" w:rsidRPr="00AA1459">
          <w:rPr>
            <w:rStyle w:val="Hyperlink"/>
            <w:noProof/>
          </w:rPr>
          <w:t>La sous-traitance</w:t>
        </w:r>
        <w:r w:rsidR="00A57604">
          <w:rPr>
            <w:noProof/>
            <w:webHidden/>
          </w:rPr>
          <w:tab/>
        </w:r>
        <w:r w:rsidR="00A57604">
          <w:rPr>
            <w:noProof/>
            <w:webHidden/>
          </w:rPr>
          <w:fldChar w:fldCharType="begin"/>
        </w:r>
        <w:r w:rsidR="00A57604">
          <w:rPr>
            <w:noProof/>
            <w:webHidden/>
          </w:rPr>
          <w:instrText xml:space="preserve"> PAGEREF _Toc183186345 \h </w:instrText>
        </w:r>
        <w:r w:rsidR="00A57604">
          <w:rPr>
            <w:noProof/>
            <w:webHidden/>
          </w:rPr>
        </w:r>
        <w:r w:rsidR="00A57604">
          <w:rPr>
            <w:noProof/>
            <w:webHidden/>
          </w:rPr>
          <w:fldChar w:fldCharType="separate"/>
        </w:r>
        <w:r w:rsidR="00A57604">
          <w:rPr>
            <w:noProof/>
            <w:webHidden/>
          </w:rPr>
          <w:t>13</w:t>
        </w:r>
        <w:r w:rsidR="00A57604">
          <w:rPr>
            <w:noProof/>
            <w:webHidden/>
          </w:rPr>
          <w:fldChar w:fldCharType="end"/>
        </w:r>
      </w:hyperlink>
    </w:p>
    <w:p w14:paraId="068532B5" w14:textId="60F6215D" w:rsidR="00A57604" w:rsidRPr="00A57604" w:rsidRDefault="002444E5">
      <w:pPr>
        <w:pStyle w:val="TOC1"/>
        <w:rPr>
          <w:rFonts w:ascii="Calibri" w:hAnsi="Calibri"/>
          <w:b w:val="0"/>
          <w:caps w:val="0"/>
          <w:noProof/>
          <w:kern w:val="2"/>
          <w:sz w:val="22"/>
          <w:szCs w:val="22"/>
          <w:lang w:val="en-IE"/>
        </w:rPr>
      </w:pPr>
      <w:hyperlink w:anchor="_Toc183186346" w:history="1">
        <w:r w:rsidR="00A57604" w:rsidRPr="00AA1459">
          <w:rPr>
            <w:rStyle w:val="Hyperlink"/>
            <w:noProof/>
          </w:rPr>
          <w:t>8</w:t>
        </w:r>
        <w:r w:rsidR="00A57604" w:rsidRPr="00A57604">
          <w:rPr>
            <w:rFonts w:ascii="Calibri" w:hAnsi="Calibri"/>
            <w:b w:val="0"/>
            <w:caps w:val="0"/>
            <w:noProof/>
            <w:kern w:val="2"/>
            <w:sz w:val="22"/>
            <w:szCs w:val="22"/>
            <w:lang w:val="en-IE"/>
          </w:rPr>
          <w:tab/>
        </w:r>
        <w:r w:rsidR="00A57604" w:rsidRPr="00AA1459">
          <w:rPr>
            <w:rStyle w:val="Hyperlink"/>
            <w:noProof/>
          </w:rPr>
          <w:t>Annexes</w:t>
        </w:r>
        <w:r w:rsidR="00A57604">
          <w:rPr>
            <w:noProof/>
            <w:webHidden/>
          </w:rPr>
          <w:tab/>
        </w:r>
        <w:r w:rsidR="00A57604">
          <w:rPr>
            <w:noProof/>
            <w:webHidden/>
          </w:rPr>
          <w:fldChar w:fldCharType="begin"/>
        </w:r>
        <w:r w:rsidR="00A57604">
          <w:rPr>
            <w:noProof/>
            <w:webHidden/>
          </w:rPr>
          <w:instrText xml:space="preserve"> PAGEREF _Toc183186346 \h </w:instrText>
        </w:r>
        <w:r w:rsidR="00A57604">
          <w:rPr>
            <w:noProof/>
            <w:webHidden/>
          </w:rPr>
        </w:r>
        <w:r w:rsidR="00A57604">
          <w:rPr>
            <w:noProof/>
            <w:webHidden/>
          </w:rPr>
          <w:fldChar w:fldCharType="separate"/>
        </w:r>
        <w:r w:rsidR="00A57604">
          <w:rPr>
            <w:noProof/>
            <w:webHidden/>
          </w:rPr>
          <w:t>13</w:t>
        </w:r>
        <w:r w:rsidR="00A57604">
          <w:rPr>
            <w:noProof/>
            <w:webHidden/>
          </w:rPr>
          <w:fldChar w:fldCharType="end"/>
        </w:r>
      </w:hyperlink>
    </w:p>
    <w:p w14:paraId="3EF70B8B" w14:textId="59E6D843" w:rsidR="00A57604" w:rsidRPr="00A57604" w:rsidRDefault="002444E5">
      <w:pPr>
        <w:pStyle w:val="TOC2"/>
        <w:rPr>
          <w:rFonts w:ascii="Calibri" w:hAnsi="Calibri"/>
          <w:smallCaps w:val="0"/>
          <w:noProof/>
          <w:kern w:val="2"/>
          <w:sz w:val="22"/>
          <w:szCs w:val="22"/>
          <w:lang w:val="en-IE"/>
        </w:rPr>
      </w:pPr>
      <w:hyperlink w:anchor="_Toc183186347" w:history="1">
        <w:r w:rsidR="00A57604" w:rsidRPr="00AA1459">
          <w:rPr>
            <w:rStyle w:val="Hyperlink"/>
            <w:noProof/>
          </w:rPr>
          <w:t>Annexe 1 Contexte de l’engagement — Informations clés pour un audit des systèmes</w:t>
        </w:r>
        <w:r w:rsidR="00A57604">
          <w:rPr>
            <w:noProof/>
            <w:webHidden/>
          </w:rPr>
          <w:tab/>
        </w:r>
        <w:r w:rsidR="00A57604">
          <w:rPr>
            <w:noProof/>
            <w:webHidden/>
          </w:rPr>
          <w:fldChar w:fldCharType="begin"/>
        </w:r>
        <w:r w:rsidR="00A57604">
          <w:rPr>
            <w:noProof/>
            <w:webHidden/>
          </w:rPr>
          <w:instrText xml:space="preserve"> PAGEREF _Toc183186347 \h </w:instrText>
        </w:r>
        <w:r w:rsidR="00A57604">
          <w:rPr>
            <w:noProof/>
            <w:webHidden/>
          </w:rPr>
        </w:r>
        <w:r w:rsidR="00A57604">
          <w:rPr>
            <w:noProof/>
            <w:webHidden/>
          </w:rPr>
          <w:fldChar w:fldCharType="separate"/>
        </w:r>
        <w:r w:rsidR="00A57604">
          <w:rPr>
            <w:noProof/>
            <w:webHidden/>
          </w:rPr>
          <w:t>13</w:t>
        </w:r>
        <w:r w:rsidR="00A57604">
          <w:rPr>
            <w:noProof/>
            <w:webHidden/>
          </w:rPr>
          <w:fldChar w:fldCharType="end"/>
        </w:r>
      </w:hyperlink>
    </w:p>
    <w:p w14:paraId="26829968" w14:textId="76D384B2" w:rsidR="00A57604" w:rsidRPr="00A57604" w:rsidRDefault="002444E5">
      <w:pPr>
        <w:pStyle w:val="TOC2"/>
        <w:tabs>
          <w:tab w:val="left" w:pos="1440"/>
        </w:tabs>
        <w:rPr>
          <w:rFonts w:ascii="Calibri" w:hAnsi="Calibri"/>
          <w:smallCaps w:val="0"/>
          <w:noProof/>
          <w:kern w:val="2"/>
          <w:sz w:val="22"/>
          <w:szCs w:val="22"/>
          <w:lang w:val="en-IE"/>
        </w:rPr>
      </w:pPr>
      <w:hyperlink w:anchor="_Toc183186348" w:history="1">
        <w:r w:rsidR="00A57604" w:rsidRPr="00AA1459">
          <w:rPr>
            <w:rStyle w:val="Hyperlink"/>
            <w:noProof/>
          </w:rPr>
          <w:t xml:space="preserve">Annexe 2 </w:t>
        </w:r>
        <w:r w:rsidR="00A57604" w:rsidRPr="00A57604">
          <w:rPr>
            <w:rFonts w:ascii="Calibri" w:hAnsi="Calibri"/>
            <w:smallCaps w:val="0"/>
            <w:noProof/>
            <w:kern w:val="2"/>
            <w:sz w:val="22"/>
            <w:szCs w:val="22"/>
            <w:lang w:val="en-IE"/>
          </w:rPr>
          <w:tab/>
        </w:r>
        <w:r w:rsidR="00A57604" w:rsidRPr="00AA1459">
          <w:rPr>
            <w:rStyle w:val="Hyperlink"/>
            <w:noProof/>
          </w:rPr>
          <w:t>Procédures d’audit des systèmes</w:t>
        </w:r>
        <w:r w:rsidR="00A57604">
          <w:rPr>
            <w:noProof/>
            <w:webHidden/>
          </w:rPr>
          <w:tab/>
        </w:r>
        <w:r w:rsidR="00A57604">
          <w:rPr>
            <w:noProof/>
            <w:webHidden/>
          </w:rPr>
          <w:fldChar w:fldCharType="begin"/>
        </w:r>
        <w:r w:rsidR="00A57604">
          <w:rPr>
            <w:noProof/>
            <w:webHidden/>
          </w:rPr>
          <w:instrText xml:space="preserve"> PAGEREF _Toc183186348 \h </w:instrText>
        </w:r>
        <w:r w:rsidR="00A57604">
          <w:rPr>
            <w:noProof/>
            <w:webHidden/>
          </w:rPr>
        </w:r>
        <w:r w:rsidR="00A57604">
          <w:rPr>
            <w:noProof/>
            <w:webHidden/>
          </w:rPr>
          <w:fldChar w:fldCharType="separate"/>
        </w:r>
        <w:r w:rsidR="00A57604">
          <w:rPr>
            <w:noProof/>
            <w:webHidden/>
          </w:rPr>
          <w:t>13</w:t>
        </w:r>
        <w:r w:rsidR="00A57604">
          <w:rPr>
            <w:noProof/>
            <w:webHidden/>
          </w:rPr>
          <w:fldChar w:fldCharType="end"/>
        </w:r>
      </w:hyperlink>
    </w:p>
    <w:p w14:paraId="7B43F050" w14:textId="38F5E486" w:rsidR="00A57604" w:rsidRPr="00A57604" w:rsidRDefault="002444E5">
      <w:pPr>
        <w:pStyle w:val="TOC2"/>
        <w:tabs>
          <w:tab w:val="left" w:pos="1440"/>
        </w:tabs>
        <w:rPr>
          <w:rFonts w:ascii="Calibri" w:hAnsi="Calibri"/>
          <w:smallCaps w:val="0"/>
          <w:noProof/>
          <w:kern w:val="2"/>
          <w:sz w:val="22"/>
          <w:szCs w:val="22"/>
          <w:lang w:val="en-IE"/>
        </w:rPr>
      </w:pPr>
      <w:hyperlink w:anchor="_Toc183186349" w:history="1">
        <w:r w:rsidR="00A57604" w:rsidRPr="00AA1459">
          <w:rPr>
            <w:rStyle w:val="Hyperlink"/>
            <w:noProof/>
          </w:rPr>
          <w:t xml:space="preserve">Annexe 3 </w:t>
        </w:r>
        <w:r w:rsidR="00A57604" w:rsidRPr="00A57604">
          <w:rPr>
            <w:rFonts w:ascii="Calibri" w:hAnsi="Calibri"/>
            <w:smallCaps w:val="0"/>
            <w:noProof/>
            <w:kern w:val="2"/>
            <w:sz w:val="22"/>
            <w:szCs w:val="22"/>
            <w:lang w:val="en-IE"/>
          </w:rPr>
          <w:tab/>
        </w:r>
        <w:r w:rsidR="00A57604" w:rsidRPr="00AA1459">
          <w:rPr>
            <w:rStyle w:val="Hyperlink"/>
            <w:noProof/>
          </w:rPr>
          <w:t>Rapport d’audit des systèmes</w:t>
        </w:r>
        <w:r w:rsidR="00A57604">
          <w:rPr>
            <w:noProof/>
            <w:webHidden/>
          </w:rPr>
          <w:tab/>
        </w:r>
        <w:r w:rsidR="00A57604">
          <w:rPr>
            <w:noProof/>
            <w:webHidden/>
          </w:rPr>
          <w:fldChar w:fldCharType="begin"/>
        </w:r>
        <w:r w:rsidR="00A57604">
          <w:rPr>
            <w:noProof/>
            <w:webHidden/>
          </w:rPr>
          <w:instrText xml:space="preserve"> PAGEREF _Toc183186349 \h </w:instrText>
        </w:r>
        <w:r w:rsidR="00A57604">
          <w:rPr>
            <w:noProof/>
            <w:webHidden/>
          </w:rPr>
        </w:r>
        <w:r w:rsidR="00A57604">
          <w:rPr>
            <w:noProof/>
            <w:webHidden/>
          </w:rPr>
          <w:fldChar w:fldCharType="separate"/>
        </w:r>
        <w:r w:rsidR="00A57604">
          <w:rPr>
            <w:noProof/>
            <w:webHidden/>
          </w:rPr>
          <w:t>13</w:t>
        </w:r>
        <w:r w:rsidR="00A57604">
          <w:rPr>
            <w:noProof/>
            <w:webHidden/>
          </w:rPr>
          <w:fldChar w:fldCharType="end"/>
        </w:r>
      </w:hyperlink>
    </w:p>
    <w:p w14:paraId="63B0F2E2" w14:textId="41CBC66A" w:rsidR="007E7896" w:rsidRPr="007E7896" w:rsidRDefault="00A57604" w:rsidP="007E7896">
      <w:pPr>
        <w:pStyle w:val="TOC2"/>
        <w:tabs>
          <w:tab w:val="left" w:pos="1440"/>
        </w:tabs>
        <w:rPr>
          <w:rFonts w:ascii="Calibri" w:hAnsi="Calibri"/>
          <w:smallCaps w:val="0"/>
          <w:noProof/>
          <w:kern w:val="2"/>
          <w:sz w:val="22"/>
          <w:szCs w:val="22"/>
          <w:lang w:val="fr-BE"/>
        </w:rPr>
      </w:pPr>
      <w:r>
        <w:rPr>
          <w:b/>
          <w:bCs/>
          <w:noProof/>
        </w:rPr>
        <w:fldChar w:fldCharType="end"/>
      </w:r>
      <w:hyperlink w:anchor="_Toc183186349" w:history="1">
        <w:r w:rsidR="007E7896" w:rsidRPr="00AA1459">
          <w:rPr>
            <w:rStyle w:val="Hyperlink"/>
            <w:noProof/>
          </w:rPr>
          <w:t xml:space="preserve">Annexe </w:t>
        </w:r>
        <w:r w:rsidR="007E7896">
          <w:rPr>
            <w:rStyle w:val="Hyperlink"/>
            <w:noProof/>
          </w:rPr>
          <w:t>4</w:t>
        </w:r>
        <w:r w:rsidR="007E7896" w:rsidRPr="00AA1459">
          <w:rPr>
            <w:rStyle w:val="Hyperlink"/>
            <w:noProof/>
          </w:rPr>
          <w:t xml:space="preserve"> </w:t>
        </w:r>
        <w:r w:rsidR="007E7896" w:rsidRPr="007E7896">
          <w:rPr>
            <w:rFonts w:ascii="Calibri" w:hAnsi="Calibri"/>
            <w:smallCaps w:val="0"/>
            <w:noProof/>
            <w:kern w:val="2"/>
            <w:sz w:val="22"/>
            <w:szCs w:val="22"/>
            <w:lang w:val="fr-BE"/>
          </w:rPr>
          <w:tab/>
        </w:r>
        <w:r w:rsidR="007E7896">
          <w:rPr>
            <w:rStyle w:val="normaltextrun"/>
            <w:sz w:val="22"/>
            <w:shd w:val="clear" w:color="auto" w:fill="FFFFFF"/>
          </w:rPr>
          <w:t>Modèle pour fournir des explications en cas de retard dans la notification</w:t>
        </w:r>
        <w:r w:rsidR="007E7896">
          <w:rPr>
            <w:noProof/>
            <w:webHidden/>
          </w:rPr>
          <w:tab/>
        </w:r>
        <w:r w:rsidR="007E7896">
          <w:rPr>
            <w:noProof/>
            <w:webHidden/>
          </w:rPr>
          <w:fldChar w:fldCharType="begin"/>
        </w:r>
        <w:r w:rsidR="007E7896">
          <w:rPr>
            <w:noProof/>
            <w:webHidden/>
          </w:rPr>
          <w:instrText xml:space="preserve"> PAGEREF _Toc183186349 \h </w:instrText>
        </w:r>
        <w:r w:rsidR="007E7896">
          <w:rPr>
            <w:noProof/>
            <w:webHidden/>
          </w:rPr>
        </w:r>
        <w:r w:rsidR="007E7896">
          <w:rPr>
            <w:noProof/>
            <w:webHidden/>
          </w:rPr>
          <w:fldChar w:fldCharType="separate"/>
        </w:r>
        <w:r w:rsidR="007E7896">
          <w:rPr>
            <w:noProof/>
            <w:webHidden/>
          </w:rPr>
          <w:t>13</w:t>
        </w:r>
        <w:r w:rsidR="007E7896">
          <w:rPr>
            <w:noProof/>
            <w:webHidden/>
          </w:rPr>
          <w:fldChar w:fldCharType="end"/>
        </w:r>
      </w:hyperlink>
    </w:p>
    <w:p w14:paraId="23E5E9CC" w14:textId="1662A3E4" w:rsidR="00A57604" w:rsidRPr="007E7896" w:rsidRDefault="00A57604">
      <w:pPr>
        <w:rPr>
          <w:lang w:val="fr-BE"/>
        </w:rPr>
      </w:pPr>
    </w:p>
    <w:p w14:paraId="06AD512B" w14:textId="77777777" w:rsidR="00156B9A" w:rsidRDefault="00156B9A">
      <w:pPr>
        <w:jc w:val="both"/>
        <w:rPr>
          <w:rFonts w:ascii="Arial" w:hAnsi="Arial" w:cs="Arial"/>
          <w:sz w:val="20"/>
        </w:rPr>
      </w:pPr>
    </w:p>
    <w:p w14:paraId="420FA02F" w14:textId="77777777" w:rsidR="00156B9A" w:rsidRDefault="00156B9A">
      <w:pPr>
        <w:jc w:val="both"/>
        <w:rPr>
          <w:rFonts w:ascii="Arial" w:hAnsi="Arial" w:cs="Arial"/>
          <w:sz w:val="20"/>
        </w:rPr>
      </w:pPr>
    </w:p>
    <w:p w14:paraId="6C810270" w14:textId="77777777" w:rsidR="00156B9A" w:rsidRDefault="00156B9A">
      <w:pPr>
        <w:jc w:val="both"/>
        <w:rPr>
          <w:rFonts w:ascii="Arial" w:hAnsi="Arial" w:cs="Arial"/>
          <w:sz w:val="20"/>
        </w:rPr>
      </w:pPr>
    </w:p>
    <w:p w14:paraId="2C477AF3" w14:textId="77777777" w:rsidR="00156B9A" w:rsidRDefault="00156B9A">
      <w:pPr>
        <w:jc w:val="both"/>
        <w:rPr>
          <w:rFonts w:ascii="Arial" w:hAnsi="Arial" w:cs="Arial"/>
          <w:sz w:val="20"/>
        </w:rPr>
      </w:pPr>
    </w:p>
    <w:p w14:paraId="4D448448" w14:textId="77777777" w:rsidR="00156B9A" w:rsidRDefault="007A3D90">
      <w:pPr>
        <w:pStyle w:val="Heading1"/>
        <w:spacing w:before="120" w:after="240"/>
        <w:ind w:left="431" w:hanging="431"/>
        <w:rPr>
          <w:rFonts w:ascii="Times New Roman" w:hAnsi="Times New Roman"/>
        </w:rPr>
      </w:pPr>
      <w:bookmarkStart w:id="8" w:name="_Toc115362005"/>
      <w:bookmarkStart w:id="9" w:name="_Toc115362006"/>
      <w:bookmarkStart w:id="10" w:name="_Toc115362007"/>
      <w:bookmarkStart w:id="11" w:name="_Toc115362008"/>
      <w:bookmarkStart w:id="12" w:name="_Toc115362009"/>
      <w:bookmarkStart w:id="13" w:name="_Toc115362010"/>
      <w:bookmarkEnd w:id="8"/>
      <w:bookmarkEnd w:id="9"/>
      <w:bookmarkEnd w:id="10"/>
      <w:bookmarkEnd w:id="11"/>
      <w:bookmarkEnd w:id="12"/>
      <w:bookmarkEnd w:id="13"/>
      <w:r>
        <w:rPr>
          <w:rFonts w:cs="Arial"/>
          <w:sz w:val="20"/>
        </w:rPr>
        <w:br w:type="page"/>
      </w:r>
      <w:bookmarkStart w:id="14" w:name="_Toc296610341"/>
      <w:bookmarkStart w:id="15" w:name="_Toc183178844"/>
      <w:bookmarkStart w:id="16" w:name="_Toc183186318"/>
      <w:r>
        <w:rPr>
          <w:rFonts w:ascii="Times New Roman" w:hAnsi="Times New Roman"/>
        </w:rPr>
        <w:lastRenderedPageBreak/>
        <w:t>Introduction</w:t>
      </w:r>
      <w:bookmarkEnd w:id="14"/>
      <w:bookmarkEnd w:id="15"/>
      <w:bookmarkEnd w:id="16"/>
    </w:p>
    <w:p w14:paraId="5893AD59" w14:textId="1DE4D035" w:rsidR="00156B9A" w:rsidRDefault="007A3D90">
      <w:pPr>
        <w:pStyle w:val="P68B1DB1-Normal5"/>
        <w:spacing w:after="120"/>
        <w:jc w:val="both"/>
      </w:pPr>
      <w:r>
        <w:t>Le présent document et les annexes énumérées à la section 8 sont le cahier des charges (ci-après le</w:t>
      </w:r>
      <w:proofErr w:type="gramStart"/>
      <w:r w:rsidR="007E7896">
        <w:t xml:space="preserve"> </w:t>
      </w:r>
      <w:r>
        <w:t>«cahier</w:t>
      </w:r>
      <w:proofErr w:type="gramEnd"/>
      <w:r>
        <w:t xml:space="preserve"> des charges») sur lequel le pouvoir adjudicateur </w:t>
      </w:r>
      <w:r w:rsidR="00712EFB">
        <w:t xml:space="preserve">consent </w:t>
      </w:r>
      <w:r>
        <w:t xml:space="preserve">à engager le praticien pour procéder à un audit des </w:t>
      </w:r>
      <w:r>
        <w:rPr>
          <w:b/>
        </w:rPr>
        <w:t>systèmes</w:t>
      </w:r>
      <w:r>
        <w:t xml:space="preserve"> de la </w:t>
      </w:r>
      <w:r>
        <w:rPr>
          <w:b/>
        </w:rPr>
        <w:t>conception</w:t>
      </w:r>
      <w:r>
        <w:t xml:space="preserve"> et </w:t>
      </w:r>
      <w:r>
        <w:rPr>
          <w:b/>
        </w:rPr>
        <w:t>de l’efficacité opérationnelle du système de contrôle interne</w:t>
      </w:r>
      <w:r>
        <w:t xml:space="preserve"> et à faire rapport dans le cadre des contrats financés</w:t>
      </w:r>
      <w:r w:rsidR="007D1D3F" w:rsidRPr="007D1D3F">
        <w:t xml:space="preserve"> </w:t>
      </w:r>
      <w:r w:rsidR="007D1D3F">
        <w:t>(voir page de couverture)</w:t>
      </w:r>
      <w:r>
        <w:t xml:space="preserve">. </w:t>
      </w:r>
    </w:p>
    <w:p w14:paraId="346E1E74" w14:textId="6B5DE4EE" w:rsidR="00156B9A" w:rsidRDefault="007A3D90">
      <w:pPr>
        <w:pStyle w:val="P68B1DB1-Normal5"/>
        <w:spacing w:after="120"/>
        <w:jc w:val="both"/>
      </w:pPr>
      <w:r>
        <w:t>Le présent cahier des charges fera partie intégrante du contrat conclu entre le pouvoir adjudicateur et le praticien.</w:t>
      </w:r>
    </w:p>
    <w:p w14:paraId="1B6AC31F" w14:textId="77777777" w:rsidR="00156B9A" w:rsidRDefault="007A3D90">
      <w:pPr>
        <w:pStyle w:val="P68B1DB1-Heading111"/>
        <w:spacing w:before="120" w:after="240"/>
        <w:ind w:left="431" w:hanging="431"/>
      </w:pPr>
      <w:bookmarkStart w:id="17" w:name="_Toc115353843"/>
      <w:bookmarkStart w:id="18" w:name="_Toc115362013"/>
      <w:bookmarkStart w:id="19" w:name="_Toc115353844"/>
      <w:bookmarkStart w:id="20" w:name="_Toc115362014"/>
      <w:bookmarkStart w:id="21" w:name="_Toc115353845"/>
      <w:bookmarkStart w:id="22" w:name="_Toc115362015"/>
      <w:bookmarkStart w:id="23" w:name="_Toc115353846"/>
      <w:bookmarkStart w:id="24" w:name="_Toc115362016"/>
      <w:bookmarkStart w:id="25" w:name="_Toc115353848"/>
      <w:bookmarkStart w:id="26" w:name="_Toc115362018"/>
      <w:bookmarkStart w:id="27" w:name="_Toc107978466"/>
      <w:bookmarkStart w:id="28" w:name="_Toc107978663"/>
      <w:bookmarkStart w:id="29" w:name="_Toc107979288"/>
      <w:bookmarkStart w:id="30" w:name="_Toc107980066"/>
      <w:bookmarkStart w:id="31" w:name="_Toc107980213"/>
      <w:bookmarkStart w:id="32" w:name="_Toc107980303"/>
      <w:bookmarkStart w:id="33" w:name="_Toc107981402"/>
      <w:bookmarkStart w:id="34" w:name="_Toc107981510"/>
      <w:bookmarkStart w:id="35" w:name="_Toc107978467"/>
      <w:bookmarkStart w:id="36" w:name="_Toc107978664"/>
      <w:bookmarkStart w:id="37" w:name="_Toc107979289"/>
      <w:bookmarkStart w:id="38" w:name="_Toc107980067"/>
      <w:bookmarkStart w:id="39" w:name="_Toc107980214"/>
      <w:bookmarkStart w:id="40" w:name="_Toc107980304"/>
      <w:bookmarkStart w:id="41" w:name="_Toc107981403"/>
      <w:bookmarkStart w:id="42" w:name="_Toc107981511"/>
      <w:bookmarkStart w:id="43" w:name="_Toc107978469"/>
      <w:bookmarkStart w:id="44" w:name="_Toc107978666"/>
      <w:bookmarkStart w:id="45" w:name="_Toc107979291"/>
      <w:bookmarkStart w:id="46" w:name="_Toc107980069"/>
      <w:bookmarkStart w:id="47" w:name="_Toc107980216"/>
      <w:bookmarkStart w:id="48" w:name="_Toc107980306"/>
      <w:bookmarkStart w:id="49" w:name="_Toc107981405"/>
      <w:bookmarkStart w:id="50" w:name="_Toc107981513"/>
      <w:bookmarkStart w:id="51" w:name="_Toc107978470"/>
      <w:bookmarkStart w:id="52" w:name="_Toc107978667"/>
      <w:bookmarkStart w:id="53" w:name="_Toc107979292"/>
      <w:bookmarkStart w:id="54" w:name="_Toc107980070"/>
      <w:bookmarkStart w:id="55" w:name="_Toc107980217"/>
      <w:bookmarkStart w:id="56" w:name="_Toc107980307"/>
      <w:bookmarkStart w:id="57" w:name="_Toc107981406"/>
      <w:bookmarkStart w:id="58" w:name="_Toc107981514"/>
      <w:bookmarkStart w:id="59" w:name="_Toc107978474"/>
      <w:bookmarkStart w:id="60" w:name="_Toc107978671"/>
      <w:bookmarkStart w:id="61" w:name="_Toc107979296"/>
      <w:bookmarkStart w:id="62" w:name="_Toc107980074"/>
      <w:bookmarkStart w:id="63" w:name="_Toc107980221"/>
      <w:bookmarkStart w:id="64" w:name="_Toc107980311"/>
      <w:bookmarkStart w:id="65" w:name="_Toc107981410"/>
      <w:bookmarkStart w:id="66" w:name="_Toc107981518"/>
      <w:bookmarkStart w:id="67" w:name="_Toc107978476"/>
      <w:bookmarkStart w:id="68" w:name="_Toc107978673"/>
      <w:bookmarkStart w:id="69" w:name="_Toc107979298"/>
      <w:bookmarkStart w:id="70" w:name="_Toc107980076"/>
      <w:bookmarkStart w:id="71" w:name="_Toc107980223"/>
      <w:bookmarkStart w:id="72" w:name="_Toc107980313"/>
      <w:bookmarkStart w:id="73" w:name="_Toc107981412"/>
      <w:bookmarkStart w:id="74" w:name="_Toc107981520"/>
      <w:bookmarkStart w:id="75" w:name="_Toc107978477"/>
      <w:bookmarkStart w:id="76" w:name="_Toc107978674"/>
      <w:bookmarkStart w:id="77" w:name="_Toc107979299"/>
      <w:bookmarkStart w:id="78" w:name="_Toc107980077"/>
      <w:bookmarkStart w:id="79" w:name="_Toc107980224"/>
      <w:bookmarkStart w:id="80" w:name="_Toc107980314"/>
      <w:bookmarkStart w:id="81" w:name="_Toc107981413"/>
      <w:bookmarkStart w:id="82" w:name="_Toc107981521"/>
      <w:bookmarkStart w:id="83" w:name="_Toc107978478"/>
      <w:bookmarkStart w:id="84" w:name="_Toc107978675"/>
      <w:bookmarkStart w:id="85" w:name="_Toc107979300"/>
      <w:bookmarkStart w:id="86" w:name="_Toc107980078"/>
      <w:bookmarkStart w:id="87" w:name="_Toc107980225"/>
      <w:bookmarkStart w:id="88" w:name="_Toc107980315"/>
      <w:bookmarkStart w:id="89" w:name="_Toc107981414"/>
      <w:bookmarkStart w:id="90" w:name="_Toc107981522"/>
      <w:bookmarkStart w:id="91" w:name="_Toc107978481"/>
      <w:bookmarkStart w:id="92" w:name="_Toc107978678"/>
      <w:bookmarkStart w:id="93" w:name="_Toc107979303"/>
      <w:bookmarkStart w:id="94" w:name="_Toc107980081"/>
      <w:bookmarkStart w:id="95" w:name="_Toc107980228"/>
      <w:bookmarkStart w:id="96" w:name="_Toc107980318"/>
      <w:bookmarkStart w:id="97" w:name="_Toc107981417"/>
      <w:bookmarkStart w:id="98" w:name="_Toc107981525"/>
      <w:bookmarkStart w:id="99" w:name="_Toc107978489"/>
      <w:bookmarkStart w:id="100" w:name="_Toc107978686"/>
      <w:bookmarkStart w:id="101" w:name="_Toc107979311"/>
      <w:bookmarkStart w:id="102" w:name="_Toc107980089"/>
      <w:bookmarkStart w:id="103" w:name="_Toc107980236"/>
      <w:bookmarkStart w:id="104" w:name="_Toc107980326"/>
      <w:bookmarkStart w:id="105" w:name="_Toc107981425"/>
      <w:bookmarkStart w:id="106" w:name="_Toc107981533"/>
      <w:bookmarkStart w:id="107" w:name="_Toc296610342"/>
      <w:bookmarkStart w:id="108" w:name="_Toc183178845"/>
      <w:bookmarkStart w:id="109" w:name="_Toc183186319"/>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r>
        <w:t>Objectifs</w:t>
      </w:r>
      <w:bookmarkEnd w:id="107"/>
      <w:r>
        <w:t xml:space="preserve"> et contexte</w:t>
      </w:r>
      <w:bookmarkEnd w:id="108"/>
      <w:bookmarkEnd w:id="109"/>
    </w:p>
    <w:p w14:paraId="69CC4C48" w14:textId="228EDA92" w:rsidR="00156B9A" w:rsidRDefault="007A3D90">
      <w:pPr>
        <w:pStyle w:val="P68B1DB1-Normal5"/>
        <w:keepLines/>
        <w:spacing w:after="120"/>
        <w:jc w:val="both"/>
      </w:pPr>
      <w:bookmarkStart w:id="110" w:name="_Toc139183037"/>
      <w:bookmarkStart w:id="111" w:name="_Toc89673412"/>
      <w:r>
        <w:t>L’</w:t>
      </w:r>
      <w:r>
        <w:rPr>
          <w:b/>
        </w:rPr>
        <w:t>objectif</w:t>
      </w:r>
      <w:r>
        <w:t xml:space="preserve"> de cet audit est de permettre au praticien d’exprimer un avis </w:t>
      </w:r>
      <w:r w:rsidR="007D1D3F">
        <w:t xml:space="preserve">sur </w:t>
      </w:r>
      <w:r>
        <w:t xml:space="preserve">si </w:t>
      </w:r>
      <w:r>
        <w:rPr>
          <w:rFonts w:cs="Arial"/>
        </w:rPr>
        <w:t xml:space="preserve">le système de contrôle interne mis en place et géré par l’entité déclarante aux fins de la gestion des risques pesant sur la réalisation des objectifs </w:t>
      </w:r>
      <w:r>
        <w:t>des contrats financés</w:t>
      </w:r>
      <w:r w:rsidR="00EA2C7B">
        <w:t xml:space="preserve">, </w:t>
      </w:r>
      <w:r>
        <w:rPr>
          <w:rFonts w:cs="Arial"/>
        </w:rPr>
        <w:t xml:space="preserve">a été </w:t>
      </w:r>
      <w:r>
        <w:t>correctement conçu et exploité efficacement entre le [</w:t>
      </w:r>
      <w:r>
        <w:rPr>
          <w:highlight w:val="yellow"/>
        </w:rPr>
        <w:t>date</w:t>
      </w:r>
      <w:r>
        <w:t>] et le [</w:t>
      </w:r>
      <w:r>
        <w:rPr>
          <w:highlight w:val="yellow"/>
        </w:rPr>
        <w:t>date</w:t>
      </w:r>
      <w:r>
        <w:t>].</w:t>
      </w:r>
    </w:p>
    <w:p w14:paraId="5D97660F" w14:textId="285737F5" w:rsidR="00156B9A" w:rsidRDefault="007A3D90">
      <w:pPr>
        <w:pStyle w:val="P68B1DB1-Normal5"/>
        <w:keepLines/>
        <w:spacing w:after="120"/>
        <w:jc w:val="both"/>
      </w:pPr>
      <w:r>
        <w:t>La mission d’audit du système sera effectuée sous la forme [</w:t>
      </w:r>
      <w:r>
        <w:rPr>
          <w:highlight w:val="yellow"/>
        </w:rPr>
        <w:t>Choisissez</w:t>
      </w:r>
      <w:r w:rsidR="00EA2C7B">
        <w:rPr>
          <w:highlight w:val="yellow"/>
        </w:rPr>
        <w:t xml:space="preserve"> l’</w:t>
      </w:r>
      <w:r>
        <w:rPr>
          <w:highlight w:val="yellow"/>
        </w:rPr>
        <w:t>un</w:t>
      </w:r>
      <w:r w:rsidR="00EA2C7B">
        <w:rPr>
          <w:highlight w:val="yellow"/>
        </w:rPr>
        <w:t xml:space="preserve"> ou les deux entre</w:t>
      </w:r>
      <w:r>
        <w:rPr>
          <w:highlight w:val="yellow"/>
        </w:rPr>
        <w:t xml:space="preserve"> </w:t>
      </w:r>
      <w:r w:rsidRPr="00A57604">
        <w:rPr>
          <w:highlight w:val="lightGray"/>
        </w:rPr>
        <w:t xml:space="preserve">examen documentaire </w:t>
      </w:r>
      <w:r w:rsidRPr="007D1D3F">
        <w:rPr>
          <w:highlight w:val="lightGray"/>
        </w:rPr>
        <w:t>ou</w:t>
      </w:r>
      <w:r w:rsidR="007D1D3F">
        <w:rPr>
          <w:highlight w:val="lightGray"/>
        </w:rPr>
        <w:t>/</w:t>
      </w:r>
      <w:r w:rsidRPr="007D1D3F">
        <w:rPr>
          <w:highlight w:val="lightGray"/>
        </w:rPr>
        <w:t>et un travail sur le terrain au lieu indiqué à l’annexe 1.]</w:t>
      </w:r>
    </w:p>
    <w:p w14:paraId="1433299D" w14:textId="77777777" w:rsidR="00156B9A" w:rsidRDefault="007A3D90">
      <w:pPr>
        <w:pStyle w:val="P68B1DB1-Heading111"/>
        <w:spacing w:before="360" w:after="120"/>
        <w:ind w:left="431" w:hanging="431"/>
      </w:pPr>
      <w:bookmarkStart w:id="112" w:name="_Toc115353852"/>
      <w:bookmarkStart w:id="113" w:name="_Toc115362022"/>
      <w:bookmarkStart w:id="114" w:name="_Toc296610343"/>
      <w:bookmarkStart w:id="115" w:name="_Toc183178846"/>
      <w:bookmarkStart w:id="116" w:name="_Toc183186320"/>
      <w:bookmarkEnd w:id="112"/>
      <w:bookmarkEnd w:id="113"/>
      <w:r>
        <w:t xml:space="preserve">Normes et </w:t>
      </w:r>
      <w:bookmarkEnd w:id="114"/>
      <w:r>
        <w:t>éthique</w:t>
      </w:r>
      <w:bookmarkEnd w:id="115"/>
      <w:bookmarkEnd w:id="116"/>
    </w:p>
    <w:p w14:paraId="09D02F8D" w14:textId="77777777" w:rsidR="00156B9A" w:rsidRDefault="007A3D90">
      <w:pPr>
        <w:pStyle w:val="P68B1DB1-Normal5"/>
        <w:spacing w:after="120"/>
        <w:jc w:val="both"/>
      </w:pPr>
      <w:r>
        <w:t xml:space="preserve">Le praticien exécute ce mandat dans le </w:t>
      </w:r>
      <w:proofErr w:type="gramStart"/>
      <w:r>
        <w:t>respect:</w:t>
      </w:r>
      <w:proofErr w:type="gramEnd"/>
    </w:p>
    <w:p w14:paraId="783BD67F" w14:textId="7634E5CC" w:rsidR="00156B9A" w:rsidRDefault="00BD2A55">
      <w:pPr>
        <w:pStyle w:val="P68B1DB1-Normal5"/>
        <w:numPr>
          <w:ilvl w:val="0"/>
          <w:numId w:val="23"/>
        </w:numPr>
        <w:tabs>
          <w:tab w:val="clear" w:pos="720"/>
        </w:tabs>
        <w:spacing w:after="120"/>
        <w:ind w:left="284" w:hanging="284"/>
        <w:jc w:val="both"/>
        <w:rPr>
          <w:b/>
          <w:i/>
        </w:rPr>
      </w:pPr>
      <w:r>
        <w:t>De l</w:t>
      </w:r>
      <w:r w:rsidR="007A3D90">
        <w:t xml:space="preserve">a </w:t>
      </w:r>
      <w:r w:rsidR="007A3D90">
        <w:rPr>
          <w:i/>
        </w:rPr>
        <w:t xml:space="preserve">norme internationale sur les missions d’assurance (ISAE) de 3000 de l’IFAC révisée, les missions d’assurance autres que les audits ou les examens d’informations financières </w:t>
      </w:r>
      <w:proofErr w:type="gramStart"/>
      <w:r w:rsidR="007A3D90">
        <w:rPr>
          <w:i/>
        </w:rPr>
        <w:t>historiques;</w:t>
      </w:r>
      <w:proofErr w:type="gramEnd"/>
    </w:p>
    <w:p w14:paraId="2AA0C238" w14:textId="6F337B4A" w:rsidR="00156B9A" w:rsidRDefault="00BD2A55">
      <w:pPr>
        <w:pStyle w:val="P68B1DB1-Normal5"/>
        <w:numPr>
          <w:ilvl w:val="0"/>
          <w:numId w:val="23"/>
        </w:numPr>
        <w:tabs>
          <w:tab w:val="clear" w:pos="720"/>
        </w:tabs>
        <w:spacing w:after="120"/>
        <w:ind w:left="284" w:hanging="284"/>
        <w:jc w:val="both"/>
      </w:pPr>
      <w:r>
        <w:t>Du</w:t>
      </w:r>
      <w:r>
        <w:rPr>
          <w:i/>
        </w:rPr>
        <w:t xml:space="preserve"> </w:t>
      </w:r>
      <w:r w:rsidR="007A3D90">
        <w:rPr>
          <w:i/>
        </w:rPr>
        <w:t>code de déontologie des comptables professionnels de l’IFAC [</w:t>
      </w:r>
      <w:r w:rsidR="007A3D90" w:rsidRPr="001C387F">
        <w:rPr>
          <w:iCs/>
        </w:rPr>
        <w:t>publié</w:t>
      </w:r>
      <w:r>
        <w:rPr>
          <w:i/>
        </w:rPr>
        <w:t xml:space="preserve"> </w:t>
      </w:r>
      <w:r w:rsidR="007A3D90">
        <w:t>par l</w:t>
      </w:r>
      <w:r>
        <w:t xml:space="preserve">e conseil des normes internationales de déontologie comptable </w:t>
      </w:r>
      <w:r w:rsidR="007D1D3F">
        <w:t>(IESBA</w:t>
      </w:r>
      <w:r>
        <w:t>)</w:t>
      </w:r>
      <w:r w:rsidR="007D1D3F">
        <w:t xml:space="preserve"> </w:t>
      </w:r>
      <w:r w:rsidR="007A3D90">
        <w:t xml:space="preserve">de l’IFAC], qui établit des principes éthiques fondamentaux pour les praticiens en ce qui concerne l’intégrité, l’objectivité, l’indépendance, la compétence professionnelle et la diligence, la confidentialité, le comportement professionnel et les normes </w:t>
      </w:r>
      <w:proofErr w:type="gramStart"/>
      <w:r w:rsidR="007A3D90">
        <w:t>techniques;</w:t>
      </w:r>
      <w:proofErr w:type="gramEnd"/>
      <w:r w:rsidR="007A3D90">
        <w:t xml:space="preserve"> </w:t>
      </w:r>
    </w:p>
    <w:p w14:paraId="7447B063" w14:textId="56797DE0" w:rsidR="00156B9A" w:rsidRDefault="00BD2A55">
      <w:pPr>
        <w:pStyle w:val="P68B1DB1-Normal5"/>
        <w:numPr>
          <w:ilvl w:val="0"/>
          <w:numId w:val="23"/>
        </w:numPr>
        <w:tabs>
          <w:tab w:val="clear" w:pos="720"/>
        </w:tabs>
        <w:spacing w:after="120"/>
        <w:ind w:left="284" w:hanging="284"/>
        <w:jc w:val="both"/>
      </w:pPr>
      <w:r>
        <w:t>De l</w:t>
      </w:r>
      <w:r w:rsidR="007A3D90">
        <w:t xml:space="preserve">a </w:t>
      </w:r>
      <w:r w:rsidR="007A3D90">
        <w:rPr>
          <w:i/>
        </w:rPr>
        <w:t>norme internationale de gestion de la qualité (ISQM) de 1</w:t>
      </w:r>
      <w:r w:rsidR="007A3D90">
        <w:t xml:space="preserve"> de l’IFAC, qui établit des normes et fournit des orientations sur le système de contrôle de la qualité d’un praticien.</w:t>
      </w:r>
    </w:p>
    <w:p w14:paraId="643FC6C3" w14:textId="77777777" w:rsidR="00156B9A" w:rsidRDefault="007A3D90">
      <w:pPr>
        <w:pStyle w:val="P68B1DB1-Heading111"/>
        <w:spacing w:before="360" w:after="120"/>
        <w:ind w:left="431" w:hanging="431"/>
      </w:pPr>
      <w:bookmarkStart w:id="117" w:name="_Toc287457424"/>
      <w:bookmarkStart w:id="118" w:name="_Toc287457451"/>
      <w:bookmarkStart w:id="119" w:name="_Toc287947546"/>
      <w:bookmarkStart w:id="120" w:name="_Toc288147485"/>
      <w:bookmarkStart w:id="121" w:name="_Toc278989692"/>
      <w:bookmarkStart w:id="122" w:name="_Toc279079290"/>
      <w:bookmarkStart w:id="123" w:name="_Toc287275874"/>
      <w:bookmarkStart w:id="124" w:name="_Toc287431689"/>
      <w:bookmarkStart w:id="125" w:name="_Toc287457425"/>
      <w:bookmarkStart w:id="126" w:name="_Toc287457452"/>
      <w:bookmarkStart w:id="127" w:name="_Toc287947547"/>
      <w:bookmarkStart w:id="128" w:name="_Toc288147486"/>
      <w:bookmarkStart w:id="129" w:name="_Toc278989694"/>
      <w:bookmarkStart w:id="130" w:name="_Toc279079292"/>
      <w:bookmarkStart w:id="131" w:name="_Toc287275876"/>
      <w:bookmarkStart w:id="132" w:name="_Toc287431691"/>
      <w:bookmarkStart w:id="133" w:name="_Toc287457427"/>
      <w:bookmarkStart w:id="134" w:name="_Toc287457454"/>
      <w:bookmarkStart w:id="135" w:name="_Toc287947549"/>
      <w:bookmarkStart w:id="136" w:name="_Toc288147488"/>
      <w:bookmarkStart w:id="137" w:name="_Toc278989695"/>
      <w:bookmarkStart w:id="138" w:name="_Toc279079293"/>
      <w:bookmarkStart w:id="139" w:name="_Toc287275877"/>
      <w:bookmarkStart w:id="140" w:name="_Toc287431692"/>
      <w:bookmarkStart w:id="141" w:name="_Toc287457428"/>
      <w:bookmarkStart w:id="142" w:name="_Toc287457455"/>
      <w:bookmarkStart w:id="143" w:name="_Toc287947550"/>
      <w:bookmarkStart w:id="144" w:name="_Toc288147489"/>
      <w:bookmarkStart w:id="145" w:name="_Toc296610344"/>
      <w:bookmarkStart w:id="146" w:name="_Toc183178847"/>
      <w:bookmarkStart w:id="147" w:name="_Toc183186321"/>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r>
        <w:t xml:space="preserve">Exigences applicables au </w:t>
      </w:r>
      <w:bookmarkEnd w:id="145"/>
      <w:r>
        <w:t>praticien</w:t>
      </w:r>
      <w:bookmarkEnd w:id="146"/>
      <w:bookmarkEnd w:id="147"/>
    </w:p>
    <w:p w14:paraId="7DB90313" w14:textId="77777777" w:rsidR="00156B9A" w:rsidRDefault="007A3D90">
      <w:pPr>
        <w:pStyle w:val="P68B1DB1-Heading212"/>
        <w:spacing w:after="120"/>
        <w:ind w:left="578" w:hanging="578"/>
        <w:jc w:val="both"/>
      </w:pPr>
      <w:bookmarkStart w:id="148" w:name="_Toc183178848"/>
      <w:bookmarkStart w:id="149" w:name="_Toc183186322"/>
      <w:r>
        <w:t>Principes généraux</w:t>
      </w:r>
      <w:bookmarkEnd w:id="148"/>
      <w:bookmarkEnd w:id="149"/>
    </w:p>
    <w:p w14:paraId="3DB7E0BF" w14:textId="6D2AA5A2" w:rsidR="00156B9A" w:rsidRDefault="007A3D90">
      <w:pPr>
        <w:pStyle w:val="P68B1DB1-Normal5"/>
        <w:keepLines/>
        <w:spacing w:after="120"/>
        <w:jc w:val="both"/>
        <w:rPr>
          <w:i/>
          <w:snapToGrid w:val="0"/>
        </w:rPr>
      </w:pPr>
      <w:r>
        <w:t xml:space="preserve">En approuvant le présent cahier des charges, le praticien confirme qu’il remplit au moins l’une des conditions </w:t>
      </w:r>
      <w:proofErr w:type="gramStart"/>
      <w:r>
        <w:t>suivantes</w:t>
      </w:r>
      <w:r>
        <w:rPr>
          <w:i/>
        </w:rPr>
        <w:t>:</w:t>
      </w:r>
      <w:proofErr w:type="gramEnd"/>
    </w:p>
    <w:p w14:paraId="5235C824" w14:textId="77777777" w:rsidR="00156B9A" w:rsidRDefault="007A3D90">
      <w:pPr>
        <w:pStyle w:val="P68B1DB1-Normal5"/>
        <w:keepLines/>
        <w:numPr>
          <w:ilvl w:val="0"/>
          <w:numId w:val="22"/>
        </w:numPr>
        <w:tabs>
          <w:tab w:val="clear" w:pos="720"/>
        </w:tabs>
        <w:spacing w:after="120"/>
        <w:ind w:left="284" w:hanging="284"/>
        <w:jc w:val="both"/>
      </w:pPr>
      <w:r>
        <w:t>Le praticien est membre d’un organisme ou d’une institution comptable ou d’audit national qui, à son tour, est membre de la Fédération internationale des experts-comptables (IFAC).</w:t>
      </w:r>
    </w:p>
    <w:p w14:paraId="744BF53A" w14:textId="18213A61" w:rsidR="00156B9A" w:rsidRDefault="007A3D90">
      <w:pPr>
        <w:pStyle w:val="P68B1DB1-Normal5"/>
        <w:numPr>
          <w:ilvl w:val="0"/>
          <w:numId w:val="22"/>
        </w:numPr>
        <w:tabs>
          <w:tab w:val="clear" w:pos="720"/>
        </w:tabs>
        <w:spacing w:after="120"/>
        <w:ind w:left="284" w:hanging="284"/>
        <w:jc w:val="both"/>
      </w:pPr>
      <w:r>
        <w:t>Le praticien est membre d’une organisation nationale d’experts-comptables. Bien que cette organisation ne soit pas membre de l’IFAC, le praticien s’engage à s’engager conformément aux normes et à l’éthique de l’IFAC énoncées dans le présent cahier des charges.</w:t>
      </w:r>
    </w:p>
    <w:p w14:paraId="210B9E58" w14:textId="77777777" w:rsidR="00156B9A" w:rsidRDefault="007A3D90">
      <w:pPr>
        <w:numPr>
          <w:ilvl w:val="0"/>
          <w:numId w:val="22"/>
        </w:numPr>
        <w:tabs>
          <w:tab w:val="clear" w:pos="720"/>
        </w:tabs>
        <w:spacing w:after="120"/>
        <w:ind w:left="284" w:hanging="284"/>
        <w:jc w:val="both"/>
        <w:rPr>
          <w:sz w:val="22"/>
        </w:rPr>
      </w:pPr>
      <w:r>
        <w:rPr>
          <w:sz w:val="22"/>
        </w:rPr>
        <w:t xml:space="preserve">Le praticien est inscrit comme contrôleur légal des comptes au registre public d’un organe de supervision publiques dans un État membre de l’UE, conformément aux principes de </w:t>
      </w:r>
      <w:r>
        <w:rPr>
          <w:sz w:val="22"/>
        </w:rPr>
        <w:lastRenderedPageBreak/>
        <w:t>supervision publique exposés dans la directive no 2006/43/CE du Parlement européen et du Conseil (cette option s’applique aux auditeurs et cabinets d’audit basés dans un État membre de l’UE</w:t>
      </w:r>
      <w:proofErr w:type="gramStart"/>
      <w:r>
        <w:rPr>
          <w:sz w:val="22"/>
        </w:rPr>
        <w:t>);</w:t>
      </w:r>
      <w:proofErr w:type="gramEnd"/>
      <w:r>
        <w:rPr>
          <w:rStyle w:val="FootnoteReference"/>
          <w:sz w:val="22"/>
        </w:rPr>
        <w:footnoteReference w:id="6"/>
      </w:r>
    </w:p>
    <w:p w14:paraId="55C65B93" w14:textId="77777777" w:rsidR="00156B9A" w:rsidRDefault="007A3D90">
      <w:pPr>
        <w:pStyle w:val="P68B1DB1-Normal5"/>
        <w:numPr>
          <w:ilvl w:val="0"/>
          <w:numId w:val="22"/>
        </w:numPr>
        <w:tabs>
          <w:tab w:val="clear" w:pos="720"/>
        </w:tabs>
        <w:spacing w:after="120"/>
        <w:ind w:left="284" w:hanging="284"/>
        <w:jc w:val="both"/>
      </w:pPr>
      <w:r>
        <w:t>Le praticien est inscrit comme contrôleur légal des comptes au registre public d’un organe de supervision publique dans un pays tiers, et ce registre applique les principes de supervision publique exposés dans la législation du pays concerné (cette option s’applique aux auditeurs et cabinets d’audit basés dans un pays tiers).</w:t>
      </w:r>
    </w:p>
    <w:p w14:paraId="35B40CCA" w14:textId="77777777" w:rsidR="00156B9A" w:rsidRDefault="007A3D90">
      <w:pPr>
        <w:pStyle w:val="P68B1DB1-Heading212"/>
        <w:spacing w:before="360" w:after="120"/>
        <w:ind w:left="578" w:hanging="578"/>
        <w:jc w:val="both"/>
      </w:pPr>
      <w:bookmarkStart w:id="150" w:name="_Toc183178849"/>
      <w:bookmarkStart w:id="151" w:name="_Toc183186323"/>
      <w:r>
        <w:t>Qualifications, expérience et composition de l’équipe</w:t>
      </w:r>
      <w:bookmarkEnd w:id="150"/>
      <w:bookmarkEnd w:id="151"/>
    </w:p>
    <w:p w14:paraId="575B7AEC" w14:textId="77777777" w:rsidR="00156B9A" w:rsidRDefault="007A3D90">
      <w:pPr>
        <w:pStyle w:val="P68B1DB1-Heading313"/>
      </w:pPr>
      <w:bookmarkStart w:id="152" w:name="_Toc183178850"/>
      <w:bookmarkStart w:id="153" w:name="_Toc183186324"/>
      <w:r>
        <w:t>Qualifications et expérience</w:t>
      </w:r>
      <w:bookmarkEnd w:id="152"/>
      <w:bookmarkEnd w:id="153"/>
    </w:p>
    <w:p w14:paraId="0861A38A" w14:textId="3B58E420" w:rsidR="00156B9A" w:rsidRDefault="007A3D90">
      <w:pPr>
        <w:pStyle w:val="P68B1DB1-Normal5"/>
        <w:keepLines/>
        <w:spacing w:after="120"/>
        <w:jc w:val="both"/>
        <w:rPr>
          <w:snapToGrid w:val="0"/>
        </w:rPr>
      </w:pPr>
      <w:r>
        <w:t xml:space="preserve">Le praticien emploiera du personnel possédant les qualifications professionnelles appropriées et une expérience appropriée des normes de l’IFAC, en particulier la norme ISAE 3000 (révisée), et possédant une expérience dans l’audit des systèmes de contrôle interne d’entités d’une taille et d’une complexité comparables à celles de l’entité. En outre, l’équipe d’audit </w:t>
      </w:r>
      <w:proofErr w:type="gramStart"/>
      <w:r>
        <w:t>devrait:</w:t>
      </w:r>
      <w:proofErr w:type="gramEnd"/>
    </w:p>
    <w:p w14:paraId="7E661AF3" w14:textId="4DC95EE6" w:rsidR="00156B9A" w:rsidRDefault="007A3D90">
      <w:pPr>
        <w:pStyle w:val="P68B1DB1-Normal14"/>
        <w:spacing w:before="120" w:line="276" w:lineRule="auto"/>
        <w:rPr>
          <w:snapToGrid w:val="0"/>
          <w:shd w:val="clear" w:color="auto" w:fill="D9D9D9"/>
        </w:rPr>
      </w:pPr>
      <w:r>
        <w:rPr>
          <w:shd w:val="clear" w:color="auto" w:fill="D9D9D9"/>
        </w:rPr>
        <w:t xml:space="preserve">[Dans ce cas, il est possible de fixer des exigences pour la composition de l’équipe, telles que le nombre d’experts et leur catégorie. Si tel n’est pas le cas, </w:t>
      </w:r>
      <w:r>
        <w:t xml:space="preserve">le praticien </w:t>
      </w:r>
      <w:r>
        <w:rPr>
          <w:shd w:val="clear" w:color="auto" w:fill="D9D9D9"/>
        </w:rPr>
        <w:t>proposera une équipe d’audit composée d’une combinaison appropriée de nombre et de catégories d’auditeurs pour la mission.</w:t>
      </w:r>
      <w:r>
        <w:t>]</w:t>
      </w:r>
      <w:r>
        <w:rPr>
          <w:shd w:val="clear" w:color="auto" w:fill="D9D9D9"/>
        </w:rPr>
        <w:t xml:space="preserve"> </w:t>
      </w:r>
    </w:p>
    <w:p w14:paraId="12493E82" w14:textId="77777777" w:rsidR="00156B9A" w:rsidRDefault="00156B9A">
      <w:pPr>
        <w:spacing w:before="120" w:line="276" w:lineRule="auto"/>
        <w:rPr>
          <w:snapToGrid w:val="0"/>
          <w:sz w:val="22"/>
          <w:highlight w:val="yellow"/>
          <w:shd w:val="clear" w:color="auto" w:fill="D9D9D9"/>
        </w:rPr>
      </w:pPr>
    </w:p>
    <w:p w14:paraId="3E40B563" w14:textId="4C0D5E30" w:rsidR="00156B9A" w:rsidRDefault="007A3D90">
      <w:pPr>
        <w:pStyle w:val="P68B1DB1-Normal5"/>
        <w:keepLines/>
        <w:numPr>
          <w:ilvl w:val="0"/>
          <w:numId w:val="2"/>
        </w:numPr>
        <w:tabs>
          <w:tab w:val="clear" w:pos="720"/>
        </w:tabs>
        <w:spacing w:after="120"/>
        <w:ind w:left="284" w:hanging="284"/>
        <w:jc w:val="both"/>
      </w:pPr>
      <w:r w:rsidRPr="00CE4CFB">
        <w:t>Le chef d’équipe doit être soit le gestionnaire d’audit (catégorie II), soit l’auditeur principal (catégorie III), avec les qualifications et l’expérience minimales correspondantes établies au point 4.2.3</w:t>
      </w:r>
      <w:r>
        <w:t>.</w:t>
      </w:r>
    </w:p>
    <w:p w14:paraId="6787E75A" w14:textId="7D45AE8B" w:rsidR="00156B9A" w:rsidRDefault="007A3D90">
      <w:pPr>
        <w:pStyle w:val="P68B1DB1-Normal15"/>
        <w:keepLines/>
        <w:numPr>
          <w:ilvl w:val="0"/>
          <w:numId w:val="2"/>
        </w:numPr>
        <w:tabs>
          <w:tab w:val="clear" w:pos="720"/>
        </w:tabs>
        <w:spacing w:after="120"/>
        <w:ind w:left="284" w:hanging="284"/>
        <w:jc w:val="both"/>
      </w:pPr>
      <w:r>
        <w:t xml:space="preserve">Expérience des programmes et </w:t>
      </w:r>
      <w:r w:rsidR="000A3D01">
        <w:t xml:space="preserve">de </w:t>
      </w:r>
      <w:r>
        <w:t>projets liés aux relations extérieures financés par des donateurs et institutions nationaux et/ou internationaux].</w:t>
      </w:r>
    </w:p>
    <w:p w14:paraId="14DFA77C" w14:textId="24BAC8AC" w:rsidR="00156B9A" w:rsidRDefault="007D1D3F">
      <w:pPr>
        <w:pStyle w:val="P68B1DB1-Normal5"/>
        <w:keepLines/>
        <w:numPr>
          <w:ilvl w:val="0"/>
          <w:numId w:val="2"/>
        </w:numPr>
        <w:tabs>
          <w:tab w:val="clear" w:pos="720"/>
        </w:tabs>
        <w:spacing w:after="120"/>
        <w:ind w:left="284" w:hanging="284"/>
        <w:jc w:val="both"/>
        <w:rPr>
          <w:snapToGrid w:val="0"/>
        </w:rPr>
      </w:pPr>
      <w:r>
        <w:rPr>
          <w:highlight w:val="lightGray"/>
        </w:rPr>
        <w:t>&lt;</w:t>
      </w:r>
      <w:r w:rsidR="000A3D01" w:rsidRPr="00A57604">
        <w:rPr>
          <w:highlight w:val="lightGray"/>
        </w:rPr>
        <w:t>Expérience en matière d’audits</w:t>
      </w:r>
      <w:r w:rsidR="000A3D01" w:rsidDel="000A3D01">
        <w:t xml:space="preserve"> </w:t>
      </w:r>
      <w:r w:rsidR="007A3D90">
        <w:t>&gt; [</w:t>
      </w:r>
      <w:r w:rsidR="007A3D90">
        <w:rPr>
          <w:highlight w:val="yellow"/>
        </w:rPr>
        <w:t>préciser la zone géographique, le pays</w:t>
      </w:r>
      <w:r w:rsidR="007A3D90">
        <w:t>]</w:t>
      </w:r>
    </w:p>
    <w:p w14:paraId="01B759A2" w14:textId="2CB1422E" w:rsidR="00156B9A" w:rsidRDefault="007D1D3F">
      <w:pPr>
        <w:pStyle w:val="P68B1DB1-Normal5"/>
        <w:keepLines/>
        <w:numPr>
          <w:ilvl w:val="0"/>
          <w:numId w:val="2"/>
        </w:numPr>
        <w:tabs>
          <w:tab w:val="clear" w:pos="720"/>
        </w:tabs>
        <w:spacing w:after="120"/>
        <w:ind w:left="284" w:hanging="284"/>
        <w:jc w:val="both"/>
        <w:rPr>
          <w:snapToGrid w:val="0"/>
        </w:rPr>
      </w:pPr>
      <w:r>
        <w:rPr>
          <w:highlight w:val="lightGray"/>
        </w:rPr>
        <w:t>&lt;</w:t>
      </w:r>
      <w:r w:rsidR="007A3D90" w:rsidRPr="007D1D3F">
        <w:rPr>
          <w:highlight w:val="lightGray"/>
        </w:rPr>
        <w:t>Expérience</w:t>
      </w:r>
      <w:r w:rsidR="007A3D90" w:rsidRPr="007D1D3F">
        <w:rPr>
          <w:highlight w:val="lightGray"/>
          <w:shd w:val="clear" w:color="auto" w:fill="D9D9D9"/>
        </w:rPr>
        <w:t xml:space="preserve"> en</w:t>
      </w:r>
      <w:r w:rsidR="007A3D90">
        <w:rPr>
          <w:shd w:val="clear" w:color="auto" w:fill="D9D9D9"/>
        </w:rPr>
        <w:t xml:space="preserve"> matière d’audits de</w:t>
      </w:r>
      <w:r w:rsidR="007A3D90">
        <w:t>&gt; [</w:t>
      </w:r>
      <w:r w:rsidR="007A3D90">
        <w:rPr>
          <w:highlight w:val="yellow"/>
        </w:rPr>
        <w:t>préciser secteur ou instrument</w:t>
      </w:r>
      <w:r w:rsidR="007A3D90">
        <w:t>]</w:t>
      </w:r>
    </w:p>
    <w:p w14:paraId="71F64309" w14:textId="2744B46E" w:rsidR="00156B9A" w:rsidRDefault="007D1D3F">
      <w:pPr>
        <w:pStyle w:val="P68B1DB1-Normal5"/>
        <w:keepLines/>
        <w:numPr>
          <w:ilvl w:val="0"/>
          <w:numId w:val="2"/>
        </w:numPr>
        <w:tabs>
          <w:tab w:val="clear" w:pos="720"/>
        </w:tabs>
        <w:spacing w:after="120"/>
        <w:ind w:left="284" w:hanging="284"/>
        <w:jc w:val="both"/>
        <w:rPr>
          <w:snapToGrid w:val="0"/>
        </w:rPr>
      </w:pPr>
      <w:r>
        <w:rPr>
          <w:highlight w:val="lightGray"/>
        </w:rPr>
        <w:t>&lt;</w:t>
      </w:r>
      <w:r w:rsidR="007A3D90" w:rsidRPr="007D1D3F">
        <w:rPr>
          <w:highlight w:val="lightGray"/>
        </w:rPr>
        <w:t>Une</w:t>
      </w:r>
      <w:r w:rsidR="000A3D01" w:rsidRPr="007D1D3F">
        <w:rPr>
          <w:highlight w:val="lightGray"/>
        </w:rPr>
        <w:t xml:space="preserve"> </w:t>
      </w:r>
      <w:r w:rsidR="007A3D90" w:rsidRPr="007D1D3F">
        <w:rPr>
          <w:highlight w:val="lightGray"/>
          <w:shd w:val="clear" w:color="auto" w:fill="D9D9D9"/>
        </w:rPr>
        <w:t>c</w:t>
      </w:r>
      <w:r w:rsidR="007A3D90">
        <w:rPr>
          <w:shd w:val="clear" w:color="auto" w:fill="D9D9D9"/>
        </w:rPr>
        <w:t>onnaissance des dispositions législatives, réglementaires et réglementaires applicables dans le pays concerné. Il s’agit notamment, sans s’y limiter, de la fiscalité, de la sécurité sociale et de la réglementation du travail, de la comptabilité et de l’établissement de rapports.</w:t>
      </w:r>
      <w:r w:rsidR="007A3D90">
        <w:t>]</w:t>
      </w:r>
    </w:p>
    <w:p w14:paraId="0F76B067" w14:textId="250DAA24" w:rsidR="00156B9A" w:rsidRDefault="007D1D3F">
      <w:pPr>
        <w:pStyle w:val="P68B1DB1-Normal5"/>
        <w:keepLines/>
        <w:numPr>
          <w:ilvl w:val="0"/>
          <w:numId w:val="2"/>
        </w:numPr>
        <w:tabs>
          <w:tab w:val="clear" w:pos="720"/>
        </w:tabs>
        <w:spacing w:before="120" w:after="120"/>
        <w:ind w:left="284" w:hanging="284"/>
        <w:jc w:val="both"/>
        <w:rPr>
          <w:snapToGrid w:val="0"/>
        </w:rPr>
      </w:pPr>
      <w:r>
        <w:rPr>
          <w:highlight w:val="lightGray"/>
        </w:rPr>
        <w:t>&lt;</w:t>
      </w:r>
      <w:r w:rsidR="007A3D90" w:rsidRPr="007D1D3F">
        <w:rPr>
          <w:highlight w:val="lightGray"/>
        </w:rPr>
        <w:t>Maîtrise</w:t>
      </w:r>
      <w:r w:rsidR="000A3D01" w:rsidRPr="007D1D3F">
        <w:rPr>
          <w:highlight w:val="lightGray"/>
        </w:rPr>
        <w:t xml:space="preserve"> </w:t>
      </w:r>
      <w:r w:rsidR="007A3D90" w:rsidRPr="007D1D3F">
        <w:rPr>
          <w:highlight w:val="lightGray"/>
          <w:shd w:val="clear" w:color="auto" w:fill="D9D9D9"/>
        </w:rPr>
        <w:t>de</w:t>
      </w:r>
      <w:r w:rsidR="007A3D90">
        <w:rPr>
          <w:shd w:val="clear" w:color="auto" w:fill="D9D9D9"/>
        </w:rPr>
        <w:t xml:space="preserve"> </w:t>
      </w:r>
      <w:r w:rsidR="007A3D90">
        <w:t>&gt; [</w:t>
      </w:r>
      <w:r w:rsidR="007A3D90">
        <w:rPr>
          <w:highlight w:val="yellow"/>
        </w:rPr>
        <w:t>préciser la (les) langue (s)</w:t>
      </w:r>
      <w:r w:rsidR="007A3D90">
        <w:t>]</w:t>
      </w:r>
    </w:p>
    <w:p w14:paraId="575A1AD6" w14:textId="1844DC0E" w:rsidR="00156B9A" w:rsidRDefault="007D1D3F">
      <w:pPr>
        <w:pStyle w:val="P68B1DB1-Normal5"/>
        <w:keepLines/>
        <w:numPr>
          <w:ilvl w:val="0"/>
          <w:numId w:val="2"/>
        </w:numPr>
        <w:tabs>
          <w:tab w:val="clear" w:pos="720"/>
        </w:tabs>
        <w:spacing w:before="120" w:after="120"/>
        <w:ind w:left="284" w:hanging="284"/>
        <w:jc w:val="both"/>
        <w:rPr>
          <w:snapToGrid w:val="0"/>
        </w:rPr>
      </w:pPr>
      <w:r>
        <w:rPr>
          <w:shd w:val="clear" w:color="auto" w:fill="D9D9D9"/>
        </w:rPr>
        <w:t>&lt;</w:t>
      </w:r>
      <w:r w:rsidR="007A3D90">
        <w:rPr>
          <w:shd w:val="clear" w:color="auto" w:fill="D9D9D9"/>
        </w:rPr>
        <w:t>Une bonne connaissance de</w:t>
      </w:r>
      <w:r w:rsidR="007A3D90">
        <w:t>&gt; [</w:t>
      </w:r>
      <w:r w:rsidR="007A3D90">
        <w:rPr>
          <w:highlight w:val="yellow"/>
        </w:rPr>
        <w:t>préciser les connaissances requises</w:t>
      </w:r>
      <w:r w:rsidR="007A3D90">
        <w:t>]</w:t>
      </w:r>
    </w:p>
    <w:p w14:paraId="36C45F28" w14:textId="77777777" w:rsidR="00156B9A" w:rsidRDefault="007A3D90">
      <w:pPr>
        <w:pStyle w:val="P68B1DB1-Heading313"/>
      </w:pPr>
      <w:bookmarkStart w:id="154" w:name="_Toc183178851"/>
      <w:bookmarkStart w:id="155" w:name="_Toc183186325"/>
      <w:r>
        <w:t>Composition de l’équipe</w:t>
      </w:r>
      <w:bookmarkEnd w:id="154"/>
      <w:bookmarkEnd w:id="155"/>
    </w:p>
    <w:p w14:paraId="2ACEE4E9" w14:textId="77777777" w:rsidR="00156B9A" w:rsidRDefault="00156B9A"/>
    <w:p w14:paraId="691B5F73" w14:textId="2C7CDEFD" w:rsidR="00156B9A" w:rsidRDefault="007A3D90">
      <w:r>
        <w:lastRenderedPageBreak/>
        <w:t>Le tableau ci-dessous présente les qualifications et l’expérience minimales requises pour chacune des quatre catégories d’experts.</w:t>
      </w:r>
    </w:p>
    <w:tbl>
      <w:tblPr>
        <w:tblpPr w:leftFromText="180" w:rightFromText="180" w:vertAnchor="text" w:horzAnchor="margin" w:tblpXSpec="center"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5"/>
        <w:gridCol w:w="1561"/>
        <w:gridCol w:w="1410"/>
        <w:gridCol w:w="1561"/>
        <w:gridCol w:w="1568"/>
        <w:gridCol w:w="1500"/>
      </w:tblGrid>
      <w:tr w:rsidR="00156B9A" w14:paraId="4C59293C" w14:textId="77777777">
        <w:tc>
          <w:tcPr>
            <w:tcW w:w="1776" w:type="dxa"/>
            <w:shd w:val="clear" w:color="auto" w:fill="auto"/>
          </w:tcPr>
          <w:p w14:paraId="5A29A4FA" w14:textId="77777777" w:rsidR="00156B9A" w:rsidRDefault="007A3D90">
            <w:pPr>
              <w:pStyle w:val="P68B1DB1-Normal16"/>
              <w:jc w:val="center"/>
            </w:pPr>
            <w:r>
              <w:t>Experts en audit</w:t>
            </w:r>
          </w:p>
        </w:tc>
        <w:tc>
          <w:tcPr>
            <w:tcW w:w="1429" w:type="dxa"/>
          </w:tcPr>
          <w:p w14:paraId="0AAB01BC" w14:textId="77777777" w:rsidR="00156B9A" w:rsidRDefault="007A3D90">
            <w:pPr>
              <w:pStyle w:val="P68B1DB1-Normal5"/>
              <w:jc w:val="center"/>
            </w:pPr>
            <w:r>
              <w:t>Diplôme universitaire ou qualification professionnelle pertinent</w:t>
            </w:r>
          </w:p>
        </w:tc>
        <w:tc>
          <w:tcPr>
            <w:tcW w:w="1429" w:type="dxa"/>
          </w:tcPr>
          <w:p w14:paraId="5D6E46E3" w14:textId="77777777" w:rsidR="00156B9A" w:rsidRDefault="007A3D90">
            <w:pPr>
              <w:pStyle w:val="P68B1DB1-Normal5"/>
              <w:jc w:val="center"/>
            </w:pPr>
            <w:r>
              <w:t>Membre d’un organisme ou d’une institution comptable ou d’audit national ou international</w:t>
            </w:r>
          </w:p>
        </w:tc>
        <w:tc>
          <w:tcPr>
            <w:tcW w:w="1536" w:type="dxa"/>
          </w:tcPr>
          <w:p w14:paraId="6AA25824" w14:textId="77777777" w:rsidR="00156B9A" w:rsidRDefault="007A3D90">
            <w:pPr>
              <w:pStyle w:val="P68B1DB1-Normal5"/>
              <w:jc w:val="center"/>
            </w:pPr>
            <w:r>
              <w:t>Expérience professionnelle en tant qu’auditeur ou comptable professionnel</w:t>
            </w:r>
          </w:p>
        </w:tc>
        <w:tc>
          <w:tcPr>
            <w:tcW w:w="1589" w:type="dxa"/>
            <w:shd w:val="clear" w:color="auto" w:fill="auto"/>
          </w:tcPr>
          <w:p w14:paraId="711C4992" w14:textId="77777777" w:rsidR="00156B9A" w:rsidRDefault="007A3D90">
            <w:pPr>
              <w:pStyle w:val="P68B1DB1-Normal5"/>
              <w:jc w:val="center"/>
            </w:pPr>
            <w:r>
              <w:t>Expérience de l’encadrement dans le domaine de la pratique de l’audit et/ou de la direction d’équipes d’audit</w:t>
            </w:r>
          </w:p>
        </w:tc>
        <w:tc>
          <w:tcPr>
            <w:tcW w:w="1536" w:type="dxa"/>
            <w:shd w:val="clear" w:color="auto" w:fill="auto"/>
          </w:tcPr>
          <w:p w14:paraId="653F66D7" w14:textId="77777777" w:rsidR="00156B9A" w:rsidRDefault="007A3D90">
            <w:pPr>
              <w:pStyle w:val="P68B1DB1-Normal5"/>
              <w:jc w:val="center"/>
            </w:pPr>
            <w:r>
              <w:t>Expérience des services liés à l’audit dans les pays bénéficiaires de l’action extérieure de l’UE</w:t>
            </w:r>
          </w:p>
        </w:tc>
      </w:tr>
      <w:tr w:rsidR="00156B9A" w14:paraId="5B2D5A8D" w14:textId="77777777">
        <w:tc>
          <w:tcPr>
            <w:tcW w:w="1776" w:type="dxa"/>
            <w:shd w:val="clear" w:color="auto" w:fill="auto"/>
          </w:tcPr>
          <w:p w14:paraId="138FC88D" w14:textId="77777777" w:rsidR="00156B9A" w:rsidRDefault="007A3D90">
            <w:pPr>
              <w:pStyle w:val="P68B1DB1-Normal5"/>
              <w:jc w:val="center"/>
            </w:pPr>
            <w:r>
              <w:t>Catégorie I *</w:t>
            </w:r>
          </w:p>
          <w:p w14:paraId="0E0D9654" w14:textId="77777777" w:rsidR="00156B9A" w:rsidRDefault="007A3D90">
            <w:pPr>
              <w:pStyle w:val="P68B1DB1-Normal5"/>
              <w:jc w:val="center"/>
            </w:pPr>
            <w:r>
              <w:t>Associé d’audit</w:t>
            </w:r>
          </w:p>
        </w:tc>
        <w:tc>
          <w:tcPr>
            <w:tcW w:w="1429" w:type="dxa"/>
          </w:tcPr>
          <w:p w14:paraId="3A4CC478" w14:textId="77777777" w:rsidR="00156B9A" w:rsidRDefault="007A3D90">
            <w:pPr>
              <w:pStyle w:val="P68B1DB1-Normal5"/>
              <w:jc w:val="center"/>
            </w:pPr>
            <w:r>
              <w:t>OUI</w:t>
            </w:r>
          </w:p>
        </w:tc>
        <w:tc>
          <w:tcPr>
            <w:tcW w:w="1429" w:type="dxa"/>
          </w:tcPr>
          <w:p w14:paraId="2E1A1306" w14:textId="77777777" w:rsidR="00156B9A" w:rsidRDefault="007A3D90">
            <w:pPr>
              <w:pStyle w:val="P68B1DB1-Normal5"/>
              <w:jc w:val="center"/>
            </w:pPr>
            <w:r>
              <w:t>OUI</w:t>
            </w:r>
          </w:p>
        </w:tc>
        <w:tc>
          <w:tcPr>
            <w:tcW w:w="1536" w:type="dxa"/>
          </w:tcPr>
          <w:p w14:paraId="3958A871" w14:textId="77777777" w:rsidR="00156B9A" w:rsidRDefault="007A3D90">
            <w:pPr>
              <w:pStyle w:val="P68B1DB1-Normal5"/>
              <w:jc w:val="center"/>
            </w:pPr>
            <w:r>
              <w:t>15 ans</w:t>
            </w:r>
          </w:p>
        </w:tc>
        <w:tc>
          <w:tcPr>
            <w:tcW w:w="1589" w:type="dxa"/>
            <w:shd w:val="clear" w:color="auto" w:fill="auto"/>
          </w:tcPr>
          <w:p w14:paraId="1942DA09" w14:textId="7FA57961" w:rsidR="00156B9A" w:rsidRDefault="007A3D90">
            <w:pPr>
              <w:pStyle w:val="P68B1DB1-Normal5"/>
              <w:jc w:val="center"/>
            </w:pPr>
            <w:r>
              <w:t>10 ans</w:t>
            </w:r>
          </w:p>
        </w:tc>
        <w:tc>
          <w:tcPr>
            <w:tcW w:w="1536" w:type="dxa"/>
            <w:shd w:val="clear" w:color="auto" w:fill="auto"/>
          </w:tcPr>
          <w:p w14:paraId="34B33CB9" w14:textId="77777777" w:rsidR="00156B9A" w:rsidRDefault="007A3D90">
            <w:pPr>
              <w:pStyle w:val="P68B1DB1-Normal5"/>
              <w:jc w:val="center"/>
            </w:pPr>
            <w:r>
              <w:t>/</w:t>
            </w:r>
          </w:p>
        </w:tc>
      </w:tr>
      <w:tr w:rsidR="00156B9A" w14:paraId="1F921203" w14:textId="77777777">
        <w:tc>
          <w:tcPr>
            <w:tcW w:w="1776" w:type="dxa"/>
            <w:shd w:val="clear" w:color="auto" w:fill="auto"/>
          </w:tcPr>
          <w:p w14:paraId="75F7A8CA" w14:textId="10396372" w:rsidR="00156B9A" w:rsidRDefault="007D1D3F">
            <w:pPr>
              <w:pStyle w:val="P68B1DB1-Normal5"/>
              <w:jc w:val="center"/>
            </w:pPr>
            <w:r>
              <w:t xml:space="preserve">Catégorie </w:t>
            </w:r>
            <w:r w:rsidR="007A3D90">
              <w:t>II</w:t>
            </w:r>
          </w:p>
          <w:p w14:paraId="391337DB" w14:textId="77777777" w:rsidR="00156B9A" w:rsidRDefault="007A3D90">
            <w:pPr>
              <w:pStyle w:val="P68B1DB1-Normal5"/>
              <w:jc w:val="center"/>
            </w:pPr>
            <w:r>
              <w:t>Gestionnaire d’audit</w:t>
            </w:r>
          </w:p>
        </w:tc>
        <w:tc>
          <w:tcPr>
            <w:tcW w:w="1429" w:type="dxa"/>
          </w:tcPr>
          <w:p w14:paraId="3152AABF" w14:textId="77777777" w:rsidR="00156B9A" w:rsidRDefault="007A3D90">
            <w:pPr>
              <w:pStyle w:val="P68B1DB1-Normal5"/>
              <w:jc w:val="center"/>
            </w:pPr>
            <w:r>
              <w:t>OUI</w:t>
            </w:r>
          </w:p>
        </w:tc>
        <w:tc>
          <w:tcPr>
            <w:tcW w:w="1429" w:type="dxa"/>
          </w:tcPr>
          <w:p w14:paraId="4B6D213A" w14:textId="77777777" w:rsidR="00156B9A" w:rsidRDefault="007A3D90">
            <w:pPr>
              <w:pStyle w:val="P68B1DB1-Normal5"/>
              <w:jc w:val="center"/>
            </w:pPr>
            <w:r>
              <w:t>OUI</w:t>
            </w:r>
          </w:p>
        </w:tc>
        <w:tc>
          <w:tcPr>
            <w:tcW w:w="1536" w:type="dxa"/>
          </w:tcPr>
          <w:p w14:paraId="34A07E9F" w14:textId="77777777" w:rsidR="00156B9A" w:rsidRDefault="007A3D90">
            <w:pPr>
              <w:pStyle w:val="P68B1DB1-Normal5"/>
              <w:jc w:val="center"/>
            </w:pPr>
            <w:r>
              <w:t>10 ans</w:t>
            </w:r>
          </w:p>
        </w:tc>
        <w:tc>
          <w:tcPr>
            <w:tcW w:w="1589" w:type="dxa"/>
            <w:shd w:val="clear" w:color="auto" w:fill="auto"/>
          </w:tcPr>
          <w:p w14:paraId="0C26575B" w14:textId="281BCC99" w:rsidR="00156B9A" w:rsidRDefault="007A3D90">
            <w:pPr>
              <w:pStyle w:val="P68B1DB1-Normal5"/>
              <w:jc w:val="center"/>
            </w:pPr>
            <w:r>
              <w:t>1 an</w:t>
            </w:r>
          </w:p>
        </w:tc>
        <w:tc>
          <w:tcPr>
            <w:tcW w:w="1536" w:type="dxa"/>
            <w:shd w:val="clear" w:color="auto" w:fill="auto"/>
          </w:tcPr>
          <w:p w14:paraId="35F1FD60" w14:textId="77777777" w:rsidR="00156B9A" w:rsidRDefault="007A3D90">
            <w:pPr>
              <w:pStyle w:val="P68B1DB1-Normal5"/>
              <w:jc w:val="center"/>
            </w:pPr>
            <w:r>
              <w:t>3 ans</w:t>
            </w:r>
          </w:p>
        </w:tc>
      </w:tr>
      <w:tr w:rsidR="00156B9A" w14:paraId="5D96A70D" w14:textId="77777777">
        <w:tc>
          <w:tcPr>
            <w:tcW w:w="1776" w:type="dxa"/>
            <w:shd w:val="clear" w:color="auto" w:fill="auto"/>
          </w:tcPr>
          <w:p w14:paraId="41C9B12A" w14:textId="77777777" w:rsidR="00156B9A" w:rsidRDefault="007A3D90">
            <w:pPr>
              <w:pStyle w:val="P68B1DB1-Normal5"/>
              <w:jc w:val="center"/>
            </w:pPr>
            <w:r>
              <w:t>Catégorie III</w:t>
            </w:r>
          </w:p>
          <w:p w14:paraId="719E7B4F" w14:textId="77777777" w:rsidR="00156B9A" w:rsidRDefault="007A3D90">
            <w:pPr>
              <w:pStyle w:val="P68B1DB1-Normal5"/>
              <w:jc w:val="center"/>
            </w:pPr>
            <w:r>
              <w:t>Auditeur principal</w:t>
            </w:r>
          </w:p>
        </w:tc>
        <w:tc>
          <w:tcPr>
            <w:tcW w:w="1429" w:type="dxa"/>
          </w:tcPr>
          <w:p w14:paraId="67ED8AD8" w14:textId="77777777" w:rsidR="00156B9A" w:rsidRDefault="007A3D90">
            <w:pPr>
              <w:pStyle w:val="P68B1DB1-Normal5"/>
              <w:jc w:val="center"/>
            </w:pPr>
            <w:r>
              <w:t>OUI</w:t>
            </w:r>
          </w:p>
        </w:tc>
        <w:tc>
          <w:tcPr>
            <w:tcW w:w="1429" w:type="dxa"/>
          </w:tcPr>
          <w:p w14:paraId="1EF47822" w14:textId="77777777" w:rsidR="00156B9A" w:rsidRDefault="007A3D90">
            <w:pPr>
              <w:pStyle w:val="P68B1DB1-Normal5"/>
              <w:jc w:val="center"/>
            </w:pPr>
            <w:r>
              <w:t>/</w:t>
            </w:r>
          </w:p>
        </w:tc>
        <w:tc>
          <w:tcPr>
            <w:tcW w:w="1536" w:type="dxa"/>
          </w:tcPr>
          <w:p w14:paraId="23B166E7" w14:textId="77777777" w:rsidR="00156B9A" w:rsidRDefault="007A3D90">
            <w:pPr>
              <w:pStyle w:val="P68B1DB1-Normal5"/>
              <w:jc w:val="center"/>
            </w:pPr>
            <w:r>
              <w:t>5 ans</w:t>
            </w:r>
          </w:p>
        </w:tc>
        <w:tc>
          <w:tcPr>
            <w:tcW w:w="1589" w:type="dxa"/>
            <w:shd w:val="clear" w:color="auto" w:fill="auto"/>
          </w:tcPr>
          <w:p w14:paraId="67C56862" w14:textId="77777777" w:rsidR="00156B9A" w:rsidRDefault="007A3D90">
            <w:pPr>
              <w:pStyle w:val="P68B1DB1-Normal5"/>
              <w:jc w:val="center"/>
            </w:pPr>
            <w:r>
              <w:t>/</w:t>
            </w:r>
          </w:p>
        </w:tc>
        <w:tc>
          <w:tcPr>
            <w:tcW w:w="1536" w:type="dxa"/>
            <w:shd w:val="clear" w:color="auto" w:fill="auto"/>
          </w:tcPr>
          <w:p w14:paraId="1B4267D9" w14:textId="4D84C334" w:rsidR="00156B9A" w:rsidRDefault="007A3D90">
            <w:pPr>
              <w:pStyle w:val="P68B1DB1-Normal5"/>
              <w:jc w:val="center"/>
            </w:pPr>
            <w:r>
              <w:t>1 an</w:t>
            </w:r>
          </w:p>
        </w:tc>
      </w:tr>
      <w:tr w:rsidR="00156B9A" w14:paraId="4C351D46" w14:textId="77777777">
        <w:tc>
          <w:tcPr>
            <w:tcW w:w="1776" w:type="dxa"/>
            <w:shd w:val="clear" w:color="auto" w:fill="auto"/>
          </w:tcPr>
          <w:p w14:paraId="779398E7" w14:textId="04A8C763" w:rsidR="00156B9A" w:rsidRDefault="007D1D3F">
            <w:pPr>
              <w:pStyle w:val="P68B1DB1-Normal5"/>
              <w:jc w:val="center"/>
            </w:pPr>
            <w:r>
              <w:t xml:space="preserve">Catégorie </w:t>
            </w:r>
            <w:r w:rsidR="007A3D90">
              <w:t>IV</w:t>
            </w:r>
          </w:p>
          <w:p w14:paraId="745DC76E" w14:textId="77777777" w:rsidR="00156B9A" w:rsidRDefault="007A3D90">
            <w:pPr>
              <w:pStyle w:val="P68B1DB1-Normal5"/>
              <w:jc w:val="center"/>
            </w:pPr>
            <w:r>
              <w:t>Auditeur adjoint</w:t>
            </w:r>
          </w:p>
        </w:tc>
        <w:tc>
          <w:tcPr>
            <w:tcW w:w="1429" w:type="dxa"/>
          </w:tcPr>
          <w:p w14:paraId="4CB8CE5B" w14:textId="77777777" w:rsidR="00156B9A" w:rsidRDefault="007A3D90">
            <w:pPr>
              <w:pStyle w:val="P68B1DB1-Normal5"/>
              <w:jc w:val="center"/>
            </w:pPr>
            <w:r>
              <w:t>OUI</w:t>
            </w:r>
          </w:p>
        </w:tc>
        <w:tc>
          <w:tcPr>
            <w:tcW w:w="1429" w:type="dxa"/>
          </w:tcPr>
          <w:p w14:paraId="68D15B96" w14:textId="77777777" w:rsidR="00156B9A" w:rsidRDefault="007A3D90">
            <w:pPr>
              <w:pStyle w:val="P68B1DB1-Normal5"/>
              <w:jc w:val="center"/>
            </w:pPr>
            <w:r>
              <w:t>/</w:t>
            </w:r>
          </w:p>
        </w:tc>
        <w:tc>
          <w:tcPr>
            <w:tcW w:w="1536" w:type="dxa"/>
          </w:tcPr>
          <w:p w14:paraId="42B3843A" w14:textId="11CAB203" w:rsidR="00156B9A" w:rsidRDefault="007A3D90">
            <w:pPr>
              <w:pStyle w:val="P68B1DB1-Normal5"/>
              <w:jc w:val="center"/>
            </w:pPr>
            <w:r>
              <w:t>1 an</w:t>
            </w:r>
          </w:p>
        </w:tc>
        <w:tc>
          <w:tcPr>
            <w:tcW w:w="1589" w:type="dxa"/>
            <w:shd w:val="clear" w:color="auto" w:fill="auto"/>
          </w:tcPr>
          <w:p w14:paraId="7BE46CC6" w14:textId="77777777" w:rsidR="00156B9A" w:rsidRDefault="007A3D90">
            <w:pPr>
              <w:pStyle w:val="P68B1DB1-Normal5"/>
              <w:jc w:val="center"/>
            </w:pPr>
            <w:r>
              <w:t>/</w:t>
            </w:r>
          </w:p>
        </w:tc>
        <w:tc>
          <w:tcPr>
            <w:tcW w:w="1536" w:type="dxa"/>
            <w:shd w:val="clear" w:color="auto" w:fill="auto"/>
          </w:tcPr>
          <w:p w14:paraId="052DE19E" w14:textId="77777777" w:rsidR="00156B9A" w:rsidRDefault="007A3D90">
            <w:pPr>
              <w:pStyle w:val="P68B1DB1-Normal5"/>
              <w:jc w:val="center"/>
            </w:pPr>
            <w:r>
              <w:t>/</w:t>
            </w:r>
          </w:p>
        </w:tc>
      </w:tr>
    </w:tbl>
    <w:p w14:paraId="1A8412A0" w14:textId="77777777" w:rsidR="00156B9A" w:rsidRDefault="00156B9A"/>
    <w:p w14:paraId="73EAA162" w14:textId="77777777" w:rsidR="00156B9A" w:rsidRDefault="00156B9A">
      <w:pPr>
        <w:rPr>
          <w:sz w:val="22"/>
        </w:rPr>
      </w:pPr>
    </w:p>
    <w:p w14:paraId="57CB4F5A" w14:textId="698D7C68" w:rsidR="00156B9A" w:rsidRDefault="007A3D90">
      <w:pPr>
        <w:pStyle w:val="P68B1DB1-Normal5"/>
      </w:pPr>
      <w:r>
        <w:t>* En outre, l’expert de catégorie I devrait être (1) un associé ou une autre personne se trouvant dans une situation similaire à celle d’un associé du cabinet d’audit et (2) autorisé à certifier les comptes par la législation du pays dans lequel le cabinet d’audit est enregistré.</w:t>
      </w:r>
    </w:p>
    <w:p w14:paraId="2DB0179F" w14:textId="77777777" w:rsidR="00156B9A" w:rsidRDefault="00156B9A">
      <w:pPr>
        <w:rPr>
          <w:b/>
          <w:sz w:val="22"/>
        </w:rPr>
      </w:pPr>
    </w:p>
    <w:p w14:paraId="17F5FA57" w14:textId="37C7DE72" w:rsidR="00156B9A" w:rsidRDefault="007A3D90">
      <w:pPr>
        <w:keepLines/>
        <w:spacing w:before="120" w:after="120"/>
        <w:jc w:val="both"/>
        <w:rPr>
          <w:snapToGrid w:val="0"/>
          <w:sz w:val="22"/>
        </w:rPr>
      </w:pPr>
      <w:bookmarkStart w:id="156" w:name="_Hlk181877705"/>
      <w:bookmarkStart w:id="157" w:name="_Hlk181877722"/>
      <w:r>
        <w:rPr>
          <w:sz w:val="22"/>
        </w:rPr>
        <w:t>[</w:t>
      </w:r>
      <w:bookmarkEnd w:id="156"/>
      <w:r>
        <w:rPr>
          <w:rStyle w:val="normaltextrun"/>
          <w:sz w:val="22"/>
          <w:u w:val="single"/>
          <w:shd w:val="clear" w:color="auto" w:fill="FFFF00"/>
        </w:rPr>
        <w:t>Option à sélectionner si des experts techniques sont nécessaires pour mener à bien la mission</w:t>
      </w:r>
      <w:r>
        <w:rPr>
          <w:sz w:val="22"/>
        </w:rPr>
        <w:t>]</w:t>
      </w:r>
    </w:p>
    <w:bookmarkEnd w:id="157"/>
    <w:p w14:paraId="60A5CA66" w14:textId="09AD9315" w:rsidR="00156B9A" w:rsidRDefault="007A3D90">
      <w:pPr>
        <w:pStyle w:val="paragraph"/>
        <w:spacing w:before="0" w:beforeAutospacing="0" w:after="0" w:afterAutospacing="0"/>
        <w:jc w:val="both"/>
        <w:textAlignment w:val="baseline"/>
        <w:rPr>
          <w:rFonts w:ascii="Segoe UI" w:hAnsi="Segoe UI" w:cs="Segoe UI"/>
          <w:sz w:val="22"/>
        </w:rPr>
      </w:pPr>
      <w:r>
        <w:rPr>
          <w:rStyle w:val="normaltextrun"/>
          <w:b/>
          <w:sz w:val="22"/>
          <w:shd w:val="clear" w:color="auto" w:fill="C0C0C0"/>
        </w:rPr>
        <w:t>[Experts techniques</w:t>
      </w:r>
      <w:r>
        <w:rPr>
          <w:rStyle w:val="normaltextrun"/>
          <w:sz w:val="22"/>
          <w:shd w:val="clear" w:color="auto" w:fill="C0C0C0"/>
        </w:rPr>
        <w:t xml:space="preserve"> </w:t>
      </w:r>
      <w:r>
        <w:rPr>
          <w:rStyle w:val="eop"/>
          <w:color w:val="0078D4"/>
          <w:sz w:val="22"/>
        </w:rPr>
        <w:t xml:space="preserve"> </w:t>
      </w:r>
    </w:p>
    <w:p w14:paraId="5352A63C" w14:textId="04BE6261" w:rsidR="00156B9A" w:rsidRDefault="007A3D90">
      <w:pPr>
        <w:pStyle w:val="paragraph"/>
        <w:spacing w:before="0" w:beforeAutospacing="0" w:after="0" w:afterAutospacing="0"/>
        <w:jc w:val="both"/>
        <w:textAlignment w:val="baseline"/>
        <w:rPr>
          <w:rFonts w:ascii="Segoe UI" w:hAnsi="Segoe UI" w:cs="Segoe UI"/>
          <w:sz w:val="18"/>
        </w:rPr>
      </w:pPr>
      <w:r>
        <w:rPr>
          <w:rStyle w:val="normaltextrun"/>
          <w:sz w:val="22"/>
          <w:shd w:val="clear" w:color="auto" w:fill="C0C0C0"/>
        </w:rPr>
        <w:t xml:space="preserve">Les experts techniques </w:t>
      </w:r>
      <w:r w:rsidR="000A3D01">
        <w:rPr>
          <w:rStyle w:val="normaltextrun"/>
          <w:sz w:val="22"/>
          <w:shd w:val="clear" w:color="auto" w:fill="C0C0C0"/>
        </w:rPr>
        <w:t xml:space="preserve">doivent </w:t>
      </w:r>
      <w:r>
        <w:rPr>
          <w:rStyle w:val="normaltextrun"/>
          <w:sz w:val="22"/>
          <w:shd w:val="clear" w:color="auto" w:fill="C0C0C0"/>
        </w:rPr>
        <w:t xml:space="preserve">être </w:t>
      </w:r>
      <w:r w:rsidR="000A3D01">
        <w:rPr>
          <w:rStyle w:val="normaltextrun"/>
          <w:sz w:val="22"/>
          <w:shd w:val="clear" w:color="auto" w:fill="C0C0C0"/>
        </w:rPr>
        <w:t xml:space="preserve">des </w:t>
      </w:r>
      <w:r>
        <w:rPr>
          <w:rStyle w:val="normaltextrun"/>
          <w:sz w:val="22"/>
          <w:shd w:val="clear" w:color="auto" w:fill="C0C0C0"/>
        </w:rPr>
        <w:t>expert</w:t>
      </w:r>
      <w:r w:rsidR="000A3D01">
        <w:rPr>
          <w:rStyle w:val="normaltextrun"/>
          <w:sz w:val="22"/>
          <w:shd w:val="clear" w:color="auto" w:fill="C0C0C0"/>
        </w:rPr>
        <w:t>s</w:t>
      </w:r>
      <w:r>
        <w:rPr>
          <w:rStyle w:val="normaltextrun"/>
          <w:sz w:val="22"/>
          <w:shd w:val="clear" w:color="auto" w:fill="C0C0C0"/>
        </w:rPr>
        <w:t xml:space="preserve"> qualifié</w:t>
      </w:r>
      <w:r w:rsidR="000A3D01">
        <w:rPr>
          <w:rStyle w:val="normaltextrun"/>
          <w:sz w:val="22"/>
          <w:shd w:val="clear" w:color="auto" w:fill="C0C0C0"/>
        </w:rPr>
        <w:t>s</w:t>
      </w:r>
      <w:r>
        <w:rPr>
          <w:rStyle w:val="normaltextrun"/>
          <w:sz w:val="22"/>
          <w:shd w:val="clear" w:color="auto" w:fill="C0C0C0"/>
        </w:rPr>
        <w:t xml:space="preserve"> possédant au moins 10 ans d’expérience professionnelle, dont au moins 2 ans dans les pays bénéficiaires de la DG INTPA ou de la NEAR.]</w:t>
      </w:r>
    </w:p>
    <w:p w14:paraId="6DFBB38F" w14:textId="77777777" w:rsidR="00156B9A" w:rsidRDefault="00156B9A"/>
    <w:p w14:paraId="3CF38353" w14:textId="77777777" w:rsidR="00156B9A" w:rsidRDefault="007A3D90">
      <w:pPr>
        <w:pStyle w:val="P68B1DB1-Heading313"/>
        <w:spacing w:before="0" w:after="120"/>
      </w:pPr>
      <w:bookmarkStart w:id="158" w:name="_Toc115353859"/>
      <w:bookmarkStart w:id="159" w:name="_Toc115362029"/>
      <w:bookmarkStart w:id="160" w:name="_Toc115353861"/>
      <w:bookmarkStart w:id="161" w:name="_Toc115362031"/>
      <w:bookmarkStart w:id="162" w:name="_Toc183178852"/>
      <w:bookmarkStart w:id="163" w:name="_Toc183186326"/>
      <w:bookmarkEnd w:id="158"/>
      <w:bookmarkEnd w:id="159"/>
      <w:bookmarkEnd w:id="160"/>
      <w:bookmarkEnd w:id="161"/>
      <w:r>
        <w:t>Curriculum vitae (CV)</w:t>
      </w:r>
      <w:bookmarkEnd w:id="162"/>
      <w:bookmarkEnd w:id="163"/>
    </w:p>
    <w:p w14:paraId="6501E064" w14:textId="4C15861D" w:rsidR="00156B9A" w:rsidRDefault="007A3D90">
      <w:pPr>
        <w:pStyle w:val="P68B1DB1-Normal5"/>
        <w:keepLines/>
        <w:spacing w:after="120"/>
        <w:jc w:val="both"/>
        <w:rPr>
          <w:snapToGrid w:val="0"/>
        </w:rPr>
      </w:pPr>
      <w:r>
        <w:t xml:space="preserve">Le praticien fournira au pouvoir adjudicateur les CV du personnel/des experts participant à l’engagement. Les CV contiendront des précisions appropriées aux fins de l’évaluation de l’offre sur l’expérience spécifique pertinente pour cette mission et le travail qualifié effectué dans le passé. </w:t>
      </w:r>
    </w:p>
    <w:p w14:paraId="140A42FC" w14:textId="16D0DD29" w:rsidR="00156B9A" w:rsidRDefault="007A3D90">
      <w:pPr>
        <w:pStyle w:val="P68B1DB1-Heading111"/>
        <w:spacing w:before="360" w:after="120"/>
        <w:ind w:left="431" w:hanging="431"/>
      </w:pPr>
      <w:bookmarkStart w:id="164" w:name="_Toc115353863"/>
      <w:bookmarkStart w:id="165" w:name="_Toc115362033"/>
      <w:bookmarkStart w:id="166" w:name="_Toc278989699"/>
      <w:bookmarkStart w:id="167" w:name="_Toc279079297"/>
      <w:bookmarkStart w:id="168" w:name="_Toc287275881"/>
      <w:bookmarkStart w:id="169" w:name="_Toc287431696"/>
      <w:bookmarkStart w:id="170" w:name="_Toc287457432"/>
      <w:bookmarkStart w:id="171" w:name="_Toc287457459"/>
      <w:bookmarkStart w:id="172" w:name="_Toc287947554"/>
      <w:bookmarkStart w:id="173" w:name="_Toc288147493"/>
      <w:bookmarkStart w:id="174" w:name="_Toc277941646"/>
      <w:bookmarkStart w:id="175" w:name="_Toc278183557"/>
      <w:bookmarkStart w:id="176" w:name="_Toc278191339"/>
      <w:bookmarkStart w:id="177" w:name="_Toc278199243"/>
      <w:bookmarkStart w:id="178" w:name="_Toc278200034"/>
      <w:bookmarkStart w:id="179" w:name="_Toc278537844"/>
      <w:bookmarkStart w:id="180" w:name="_Toc278903675"/>
      <w:bookmarkStart w:id="181" w:name="_Toc278903701"/>
      <w:bookmarkStart w:id="182" w:name="_Toc278903965"/>
      <w:bookmarkStart w:id="183" w:name="_Toc278956358"/>
      <w:bookmarkStart w:id="184" w:name="_Toc278957661"/>
      <w:bookmarkStart w:id="185" w:name="_Toc278958030"/>
      <w:bookmarkStart w:id="186" w:name="_Toc278958069"/>
      <w:bookmarkStart w:id="187" w:name="_Toc278989700"/>
      <w:bookmarkStart w:id="188" w:name="_Toc279079298"/>
      <w:bookmarkStart w:id="189" w:name="_Toc287275882"/>
      <w:bookmarkStart w:id="190" w:name="_Toc287431697"/>
      <w:bookmarkStart w:id="191" w:name="_Toc287457433"/>
      <w:bookmarkStart w:id="192" w:name="_Toc287457460"/>
      <w:bookmarkStart w:id="193" w:name="_Toc287947555"/>
      <w:bookmarkStart w:id="194" w:name="_Toc288147494"/>
      <w:bookmarkStart w:id="195" w:name="_Toc277941647"/>
      <w:bookmarkStart w:id="196" w:name="_Toc278183558"/>
      <w:bookmarkStart w:id="197" w:name="_Toc278191340"/>
      <w:bookmarkStart w:id="198" w:name="_Toc278199244"/>
      <w:bookmarkStart w:id="199" w:name="_Toc278200035"/>
      <w:bookmarkStart w:id="200" w:name="_Toc278537845"/>
      <w:bookmarkStart w:id="201" w:name="_Toc278903676"/>
      <w:bookmarkStart w:id="202" w:name="_Toc278903702"/>
      <w:bookmarkStart w:id="203" w:name="_Toc278903966"/>
      <w:bookmarkStart w:id="204" w:name="_Toc278956359"/>
      <w:bookmarkStart w:id="205" w:name="_Toc278957662"/>
      <w:bookmarkStart w:id="206" w:name="_Toc278958031"/>
      <w:bookmarkStart w:id="207" w:name="_Toc278958070"/>
      <w:bookmarkStart w:id="208" w:name="_Toc278989701"/>
      <w:bookmarkStart w:id="209" w:name="_Toc279079299"/>
      <w:bookmarkStart w:id="210" w:name="_Toc287275883"/>
      <w:bookmarkStart w:id="211" w:name="_Toc287431698"/>
      <w:bookmarkStart w:id="212" w:name="_Toc287457434"/>
      <w:bookmarkStart w:id="213" w:name="_Toc287457461"/>
      <w:bookmarkStart w:id="214" w:name="_Toc287947556"/>
      <w:bookmarkStart w:id="215" w:name="_Toc288147495"/>
      <w:bookmarkStart w:id="216" w:name="_Toc278989703"/>
      <w:bookmarkStart w:id="217" w:name="_Toc279079301"/>
      <w:bookmarkStart w:id="218" w:name="_Toc287275885"/>
      <w:bookmarkStart w:id="219" w:name="_Toc287431700"/>
      <w:bookmarkStart w:id="220" w:name="_Toc287457436"/>
      <w:bookmarkStart w:id="221" w:name="_Toc287457463"/>
      <w:bookmarkStart w:id="222" w:name="_Toc287947558"/>
      <w:bookmarkStart w:id="223" w:name="_Toc288147497"/>
      <w:bookmarkStart w:id="224" w:name="_Toc278989704"/>
      <w:bookmarkStart w:id="225" w:name="_Toc279079302"/>
      <w:bookmarkStart w:id="226" w:name="_Toc287275886"/>
      <w:bookmarkStart w:id="227" w:name="_Toc287431701"/>
      <w:bookmarkStart w:id="228" w:name="_Toc287457437"/>
      <w:bookmarkStart w:id="229" w:name="_Toc287457464"/>
      <w:bookmarkStart w:id="230" w:name="_Toc287947559"/>
      <w:bookmarkStart w:id="231" w:name="_Toc288147498"/>
      <w:bookmarkStart w:id="232" w:name="_Toc278989705"/>
      <w:bookmarkStart w:id="233" w:name="_Toc279079303"/>
      <w:bookmarkStart w:id="234" w:name="_Toc287275887"/>
      <w:bookmarkStart w:id="235" w:name="_Toc287431702"/>
      <w:bookmarkStart w:id="236" w:name="_Toc287457438"/>
      <w:bookmarkStart w:id="237" w:name="_Toc287457465"/>
      <w:bookmarkStart w:id="238" w:name="_Toc287947560"/>
      <w:bookmarkStart w:id="239" w:name="_Toc288147499"/>
      <w:bookmarkStart w:id="240" w:name="_Toc278989706"/>
      <w:bookmarkStart w:id="241" w:name="_Toc279079304"/>
      <w:bookmarkStart w:id="242" w:name="_Toc287275888"/>
      <w:bookmarkStart w:id="243" w:name="_Toc287431703"/>
      <w:bookmarkStart w:id="244" w:name="_Toc287457439"/>
      <w:bookmarkStart w:id="245" w:name="_Toc287457466"/>
      <w:bookmarkStart w:id="246" w:name="_Toc287947561"/>
      <w:bookmarkStart w:id="247" w:name="_Toc288147500"/>
      <w:bookmarkStart w:id="248" w:name="_Toc278989708"/>
      <w:bookmarkStart w:id="249" w:name="_Toc279079306"/>
      <w:bookmarkStart w:id="250" w:name="_Toc287275890"/>
      <w:bookmarkStart w:id="251" w:name="_Toc287431705"/>
      <w:bookmarkStart w:id="252" w:name="_Toc287457441"/>
      <w:bookmarkStart w:id="253" w:name="_Toc287457468"/>
      <w:bookmarkStart w:id="254" w:name="_Toc287947563"/>
      <w:bookmarkStart w:id="255" w:name="_Toc288147502"/>
      <w:bookmarkStart w:id="256" w:name="_Toc278989709"/>
      <w:bookmarkStart w:id="257" w:name="_Toc279079307"/>
      <w:bookmarkStart w:id="258" w:name="_Toc287275891"/>
      <w:bookmarkStart w:id="259" w:name="_Toc287431706"/>
      <w:bookmarkStart w:id="260" w:name="_Toc287457442"/>
      <w:bookmarkStart w:id="261" w:name="_Toc287457469"/>
      <w:bookmarkStart w:id="262" w:name="_Toc287947564"/>
      <w:bookmarkStart w:id="263" w:name="_Toc288147503"/>
      <w:bookmarkStart w:id="264" w:name="_Toc278989710"/>
      <w:bookmarkStart w:id="265" w:name="_Toc279079308"/>
      <w:bookmarkStart w:id="266" w:name="_Toc287275892"/>
      <w:bookmarkStart w:id="267" w:name="_Toc287431707"/>
      <w:bookmarkStart w:id="268" w:name="_Toc287457443"/>
      <w:bookmarkStart w:id="269" w:name="_Toc287457470"/>
      <w:bookmarkStart w:id="270" w:name="_Toc287947565"/>
      <w:bookmarkStart w:id="271" w:name="_Toc288147504"/>
      <w:bookmarkStart w:id="272" w:name="_Toc139183040"/>
      <w:bookmarkStart w:id="273" w:name="_Toc296610345"/>
      <w:bookmarkEnd w:id="110"/>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r>
        <w:br w:type="page"/>
      </w:r>
      <w:bookmarkStart w:id="274" w:name="_Toc183186327"/>
      <w:bookmarkEnd w:id="272"/>
      <w:bookmarkEnd w:id="273"/>
      <w:r w:rsidR="00C2564C">
        <w:lastRenderedPageBreak/>
        <w:t>Champ d’application</w:t>
      </w:r>
      <w:bookmarkEnd w:id="274"/>
    </w:p>
    <w:p w14:paraId="68B86B2D" w14:textId="70C6D25C" w:rsidR="00156B9A" w:rsidRDefault="007A3D90">
      <w:pPr>
        <w:pStyle w:val="P68B1DB1-Heading212"/>
        <w:spacing w:before="0" w:after="120"/>
      </w:pPr>
      <w:bookmarkStart w:id="275" w:name="_Toc519678199"/>
      <w:bookmarkStart w:id="276" w:name="_Toc102742182"/>
      <w:bookmarkStart w:id="277" w:name="_Toc183178854"/>
      <w:bookmarkStart w:id="278" w:name="_Toc183186328"/>
      <w:r>
        <w:t>Contrats et rapports financiers couverts par le présent cahier des charges</w:t>
      </w:r>
      <w:bookmarkEnd w:id="275"/>
      <w:bookmarkEnd w:id="276"/>
      <w:bookmarkEnd w:id="277"/>
      <w:bookmarkEnd w:id="278"/>
    </w:p>
    <w:p w14:paraId="05F48EF1" w14:textId="65C13107" w:rsidR="00156B9A" w:rsidRDefault="007A3D90">
      <w:pPr>
        <w:pStyle w:val="P68B1DB1-Normal5"/>
        <w:spacing w:after="120"/>
      </w:pPr>
      <w:r>
        <w:t xml:space="preserve">Le (s) contrat (s) faisant l’objet du présent engagement sont indiqués sur la </w:t>
      </w:r>
      <w:r w:rsidR="00C2564C">
        <w:t xml:space="preserve">page </w:t>
      </w:r>
      <w:r>
        <w:t>de couverture et à l’annexe 1.</w:t>
      </w:r>
    </w:p>
    <w:p w14:paraId="121C751E" w14:textId="77777777" w:rsidR="00156B9A" w:rsidRDefault="00156B9A">
      <w:pPr>
        <w:spacing w:after="120"/>
      </w:pPr>
    </w:p>
    <w:p w14:paraId="68C5B0E6" w14:textId="77777777" w:rsidR="00156B9A" w:rsidRDefault="007A3D90">
      <w:pPr>
        <w:pStyle w:val="P68B1DB1-Heading212"/>
        <w:spacing w:before="0" w:after="120"/>
      </w:pPr>
      <w:bookmarkStart w:id="279" w:name="_Toc519678200"/>
      <w:bookmarkStart w:id="280" w:name="_Toc102742183"/>
      <w:bookmarkStart w:id="281" w:name="_Toc183178855"/>
      <w:bookmarkStart w:id="282" w:name="_Toc183186329"/>
      <w:r>
        <w:t>Conditions d’éligibilité</w:t>
      </w:r>
      <w:bookmarkEnd w:id="279"/>
      <w:bookmarkEnd w:id="280"/>
      <w:bookmarkEnd w:id="281"/>
      <w:bookmarkEnd w:id="282"/>
    </w:p>
    <w:p w14:paraId="03205FD2" w14:textId="77777777" w:rsidR="00156B9A" w:rsidRDefault="007A3D90">
      <w:pPr>
        <w:pStyle w:val="P68B1DB1-Normal5"/>
        <w:spacing w:after="120"/>
        <w:jc w:val="both"/>
      </w:pPr>
      <w:r>
        <w:t>Les conditions d’éligibilité sont stipulées dans les contrats (avenants compris) fournis à l’annexe 1.</w:t>
      </w:r>
    </w:p>
    <w:p w14:paraId="0C089CDC" w14:textId="77777777" w:rsidR="00156B9A" w:rsidRDefault="007A3D90">
      <w:pPr>
        <w:pStyle w:val="P68B1DB1-Normal5"/>
        <w:spacing w:before="120" w:after="120"/>
        <w:jc w:val="both"/>
      </w:pPr>
      <w:r>
        <w:t>D’autres documents (par exemple, les décisions de financement, les conventions de financement, les accords-cadres) que le praticien pourrait juger nécessaires aux fins du présent engagement seront fournis par l’administration contractante sur demande.</w:t>
      </w:r>
    </w:p>
    <w:p w14:paraId="417665C9" w14:textId="77777777" w:rsidR="00156B9A" w:rsidRDefault="007A3D90">
      <w:pPr>
        <w:pStyle w:val="P68B1DB1-Normal5"/>
        <w:spacing w:before="120" w:after="120"/>
        <w:jc w:val="both"/>
      </w:pPr>
      <w:r>
        <w:t xml:space="preserve">Le praticien informera dès que possible le pouvoir adjudicateur de toute limitation de la portée des travaux qu’il pourrait trouver avant ou pendant l’engagement. </w:t>
      </w:r>
    </w:p>
    <w:p w14:paraId="762BB3E3" w14:textId="0817C718" w:rsidR="00156B9A" w:rsidRDefault="007A3D90">
      <w:pPr>
        <w:pStyle w:val="P68B1DB1-Normal5"/>
        <w:spacing w:before="120" w:after="120"/>
        <w:jc w:val="both"/>
      </w:pPr>
      <w:r>
        <w:t>Le praticien signalera toute tentative de l’entité déclarante ou de son personnel visant à restreindre la portée de l</w:t>
      </w:r>
      <w:r w:rsidR="001C387F">
        <w:t>’audit</w:t>
      </w:r>
      <w:r>
        <w:t>, ou tout manque de coopération de la part de l’entité déclarante ou de son personnel. Le praticien consultera le pouvoir adjudicateur sur la question de savoir quelle action peut être requise, si ou comment la mission peut être poursuivie et si des modifications du champ de l</w:t>
      </w:r>
      <w:r w:rsidR="001C387F">
        <w:t>’audit</w:t>
      </w:r>
      <w:r>
        <w:t xml:space="preserve"> ou du calendrier sont nécessaires.</w:t>
      </w:r>
    </w:p>
    <w:p w14:paraId="05A10142" w14:textId="43E1D57A" w:rsidR="00156B9A" w:rsidRDefault="007A3D90">
      <w:pPr>
        <w:pStyle w:val="P68B1DB1-Heading111"/>
        <w:spacing w:before="360" w:after="120"/>
        <w:ind w:left="431" w:hanging="431"/>
      </w:pPr>
      <w:bookmarkStart w:id="283" w:name="_Toc115353870"/>
      <w:bookmarkStart w:id="284" w:name="_Toc115362040"/>
      <w:bookmarkStart w:id="285" w:name="_Toc115353871"/>
      <w:bookmarkStart w:id="286" w:name="_Toc115362041"/>
      <w:bookmarkStart w:id="287" w:name="_Toc115353880"/>
      <w:bookmarkStart w:id="288" w:name="_Toc115362050"/>
      <w:bookmarkStart w:id="289" w:name="_Toc277941653"/>
      <w:bookmarkStart w:id="290" w:name="_Toc278183564"/>
      <w:bookmarkStart w:id="291" w:name="_Toc278191346"/>
      <w:bookmarkStart w:id="292" w:name="_Toc278199250"/>
      <w:bookmarkStart w:id="293" w:name="_Toc278200041"/>
      <w:bookmarkStart w:id="294" w:name="_Toc278537851"/>
      <w:bookmarkStart w:id="295" w:name="_Toc277941654"/>
      <w:bookmarkStart w:id="296" w:name="_Toc278183565"/>
      <w:bookmarkStart w:id="297" w:name="_Toc278191347"/>
      <w:bookmarkStart w:id="298" w:name="_Toc278199251"/>
      <w:bookmarkStart w:id="299" w:name="_Toc278200042"/>
      <w:bookmarkStart w:id="300" w:name="_Toc278537852"/>
      <w:bookmarkStart w:id="301" w:name="_Toc277941655"/>
      <w:bookmarkStart w:id="302" w:name="_Toc278183566"/>
      <w:bookmarkStart w:id="303" w:name="_Toc278191348"/>
      <w:bookmarkStart w:id="304" w:name="_Toc278199252"/>
      <w:bookmarkStart w:id="305" w:name="_Toc278200043"/>
      <w:bookmarkStart w:id="306" w:name="_Toc278537853"/>
      <w:bookmarkStart w:id="307" w:name="_Toc277941657"/>
      <w:bookmarkStart w:id="308" w:name="_Toc278183568"/>
      <w:bookmarkStart w:id="309" w:name="_Toc278191350"/>
      <w:bookmarkStart w:id="310" w:name="_Toc278199254"/>
      <w:bookmarkStart w:id="311" w:name="_Toc278200045"/>
      <w:bookmarkStart w:id="312" w:name="_Toc278537855"/>
      <w:bookmarkStart w:id="313" w:name="_Toc277941658"/>
      <w:bookmarkStart w:id="314" w:name="_Toc278183569"/>
      <w:bookmarkStart w:id="315" w:name="_Toc278191351"/>
      <w:bookmarkStart w:id="316" w:name="_Toc278199255"/>
      <w:bookmarkStart w:id="317" w:name="_Toc278200046"/>
      <w:bookmarkStart w:id="318" w:name="_Toc278537856"/>
      <w:bookmarkStart w:id="319" w:name="_Toc277941663"/>
      <w:bookmarkStart w:id="320" w:name="_Toc278183574"/>
      <w:bookmarkStart w:id="321" w:name="_Toc278191356"/>
      <w:bookmarkStart w:id="322" w:name="_Toc278199260"/>
      <w:bookmarkStart w:id="323" w:name="_Toc278200051"/>
      <w:bookmarkStart w:id="324" w:name="_Toc278537861"/>
      <w:bookmarkStart w:id="325" w:name="_Toc277941665"/>
      <w:bookmarkStart w:id="326" w:name="_Toc278183576"/>
      <w:bookmarkStart w:id="327" w:name="_Toc278191358"/>
      <w:bookmarkStart w:id="328" w:name="_Toc278199262"/>
      <w:bookmarkStart w:id="329" w:name="_Toc278200053"/>
      <w:bookmarkStart w:id="330" w:name="_Toc278537863"/>
      <w:bookmarkStart w:id="331" w:name="_Toc277941669"/>
      <w:bookmarkStart w:id="332" w:name="_Toc278183580"/>
      <w:bookmarkStart w:id="333" w:name="_Toc278191362"/>
      <w:bookmarkStart w:id="334" w:name="_Toc278199266"/>
      <w:bookmarkStart w:id="335" w:name="_Toc278200057"/>
      <w:bookmarkStart w:id="336" w:name="_Toc278537867"/>
      <w:bookmarkStart w:id="337" w:name="_Toc277941670"/>
      <w:bookmarkStart w:id="338" w:name="_Toc278183581"/>
      <w:bookmarkStart w:id="339" w:name="_Toc278191363"/>
      <w:bookmarkStart w:id="340" w:name="_Toc278199267"/>
      <w:bookmarkStart w:id="341" w:name="_Toc278200058"/>
      <w:bookmarkStart w:id="342" w:name="_Toc278537868"/>
      <w:bookmarkStart w:id="343" w:name="_Toc115353882"/>
      <w:bookmarkStart w:id="344" w:name="_Toc115362052"/>
      <w:bookmarkStart w:id="345" w:name="_Toc183178856"/>
      <w:bookmarkStart w:id="346" w:name="_Toc183186330"/>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r>
        <w:t xml:space="preserve">Processus </w:t>
      </w:r>
      <w:r w:rsidR="007E7896">
        <w:t>d’audit</w:t>
      </w:r>
      <w:r>
        <w:t xml:space="preserve"> et méthodologie</w:t>
      </w:r>
      <w:bookmarkEnd w:id="345"/>
      <w:bookmarkEnd w:id="346"/>
    </w:p>
    <w:p w14:paraId="0CB9E2C6" w14:textId="7F3D3A01" w:rsidR="00156B9A" w:rsidRDefault="007A3D90">
      <w:pPr>
        <w:pStyle w:val="P68B1DB1-Heading212"/>
        <w:spacing w:after="120"/>
        <w:ind w:left="578" w:hanging="578"/>
        <w:jc w:val="both"/>
      </w:pPr>
      <w:bookmarkStart w:id="347" w:name="_Toc183178857"/>
      <w:bookmarkStart w:id="348" w:name="_Toc183186331"/>
      <w:r>
        <w:t>Préparation de l</w:t>
      </w:r>
      <w:r w:rsidR="00A57604">
        <w:t>’audit</w:t>
      </w:r>
      <w:bookmarkEnd w:id="347"/>
      <w:bookmarkEnd w:id="348"/>
    </w:p>
    <w:p w14:paraId="523D7655" w14:textId="3132FF08" w:rsidR="00156B9A" w:rsidRDefault="007A3D90">
      <w:pPr>
        <w:pStyle w:val="P68B1DB1-Normal5"/>
        <w:spacing w:after="120"/>
        <w:jc w:val="both"/>
      </w:pPr>
      <w:r>
        <w:t>Le praticien prend contact avec l’entité déclarante dès que possible (et au plus tard 7 jours c</w:t>
      </w:r>
      <w:r w:rsidR="009D3DCE">
        <w:t>alendrier</w:t>
      </w:r>
      <w:r>
        <w:t>) après l’annonce formelle par le pouvoir adjudicateur de l’engagement à l’entité déclarante, afin de préparer la mission et de convenir du calendrier d’exécution de la mission, notamment en ce qui concerne le travail sur le terrain (le cas échéant). Le praticien confirmera alors également auprès de l’entité déclarante le (s) lieu (x) indiqué (s) à l’annexe 1 et veillera à ce que les pièces justificatives pertinentes ainsi que le personnel clé soient disponibles pendant l</w:t>
      </w:r>
      <w:r w:rsidR="00A57604">
        <w:t>’</w:t>
      </w:r>
      <w:r w:rsidR="006A31C5">
        <w:t>audit</w:t>
      </w:r>
      <w:r>
        <w:t>.</w:t>
      </w:r>
    </w:p>
    <w:p w14:paraId="1AF181C2" w14:textId="3A6B0502" w:rsidR="00156B9A" w:rsidRDefault="007A3D90">
      <w:pPr>
        <w:pStyle w:val="P68B1DB1-Heading212"/>
        <w:spacing w:after="120"/>
        <w:ind w:left="578" w:hanging="578"/>
        <w:jc w:val="both"/>
      </w:pPr>
      <w:r>
        <w:t xml:space="preserve"> </w:t>
      </w:r>
      <w:bookmarkStart w:id="349" w:name="_Toc183178858"/>
      <w:bookmarkStart w:id="350" w:name="_Toc183186332"/>
      <w:r>
        <w:t>Réunion</w:t>
      </w:r>
      <w:r w:rsidR="00A57604">
        <w:t xml:space="preserve"> </w:t>
      </w:r>
      <w:r>
        <w:t>préparatoire, travail sur le terrain, examen documentaire</w:t>
      </w:r>
      <w:bookmarkEnd w:id="349"/>
      <w:bookmarkEnd w:id="350"/>
    </w:p>
    <w:p w14:paraId="3E0BB203" w14:textId="7BC2044F" w:rsidR="00156B9A" w:rsidRDefault="007A3D90">
      <w:pPr>
        <w:pStyle w:val="P68B1DB1-Normal5"/>
        <w:spacing w:after="120"/>
      </w:pPr>
      <w:r>
        <w:t>[</w:t>
      </w:r>
      <w:r w:rsidRPr="006A31C5">
        <w:rPr>
          <w:highlight w:val="lightGray"/>
        </w:rPr>
        <w:t>Le</w:t>
      </w:r>
      <w:r w:rsidR="006A31C5" w:rsidRPr="006A31C5">
        <w:rPr>
          <w:highlight w:val="lightGray"/>
        </w:rPr>
        <w:t xml:space="preserve"> </w:t>
      </w:r>
      <w:r w:rsidRPr="006A31C5">
        <w:rPr>
          <w:highlight w:val="lightGray"/>
        </w:rPr>
        <w:t>p</w:t>
      </w:r>
      <w:r w:rsidRPr="00A57604">
        <w:rPr>
          <w:highlight w:val="lightGray"/>
        </w:rPr>
        <w:t xml:space="preserve">ouvoir adjudicateur prévoit une réunion préparatoire avec le praticien qui se tiendra </w:t>
      </w:r>
      <w:r w:rsidR="00DF7DAA" w:rsidRPr="003E2625">
        <w:rPr>
          <w:szCs w:val="24"/>
          <w:highlight w:val="yellow"/>
          <w:lang w:val="fr-BE"/>
        </w:rPr>
        <w:t>Choisir une option ou les deux</w:t>
      </w:r>
      <w:r w:rsidR="00DF7DAA" w:rsidRPr="003E2625">
        <w:rPr>
          <w:szCs w:val="24"/>
          <w:lang w:val="fr-BE"/>
        </w:rPr>
        <w:t xml:space="preserve"> </w:t>
      </w:r>
      <w:r w:rsidR="00DF7DAA" w:rsidRPr="006A31C5">
        <w:rPr>
          <w:highlight w:val="lightGray"/>
        </w:rPr>
        <w:t xml:space="preserve">par </w:t>
      </w:r>
      <w:r w:rsidRPr="006A31C5">
        <w:rPr>
          <w:highlight w:val="lightGray"/>
          <w:shd w:val="clear" w:color="auto" w:fill="D9D9D9"/>
        </w:rPr>
        <w:t>conférence</w:t>
      </w:r>
      <w:r>
        <w:rPr>
          <w:shd w:val="clear" w:color="auto" w:fill="D9D9D9"/>
        </w:rPr>
        <w:t xml:space="preserve"> téléphonique, </w:t>
      </w:r>
      <w:proofErr w:type="gramStart"/>
      <w:r w:rsidRPr="00A57604">
        <w:rPr>
          <w:highlight w:val="lightGray"/>
          <w:shd w:val="clear" w:color="auto" w:fill="D9D9D9"/>
        </w:rPr>
        <w:t>soit</w:t>
      </w:r>
      <w:r>
        <w:t xml:space="preserve"> </w:t>
      </w:r>
      <w:r w:rsidRPr="00A57604">
        <w:rPr>
          <w:highlight w:val="lightGray"/>
        </w:rPr>
        <w:t xml:space="preserve"> au</w:t>
      </w:r>
      <w:proofErr w:type="gramEnd"/>
      <w:r>
        <w:t xml:space="preserve"> </w:t>
      </w:r>
      <w:r w:rsidR="006A31C5">
        <w:t>&lt;</w:t>
      </w:r>
      <w:r>
        <w:rPr>
          <w:highlight w:val="yellow"/>
        </w:rPr>
        <w:t xml:space="preserve">nom et à l’adresse </w:t>
      </w:r>
      <w:r>
        <w:rPr>
          <w:highlight w:val="yellow"/>
          <w:shd w:val="clear" w:color="auto" w:fill="C0C0C0"/>
        </w:rPr>
        <w:t>du lieu de réunion, soit clairement.</w:t>
      </w:r>
      <w:r w:rsidR="006A31C5">
        <w:t>&gt;</w:t>
      </w:r>
      <w:r>
        <w:t>.]</w:t>
      </w:r>
    </w:p>
    <w:p w14:paraId="61B90251" w14:textId="7A606820" w:rsidR="00156B9A" w:rsidRDefault="007A3D90">
      <w:pPr>
        <w:pStyle w:val="P68B1DB1-Normal5"/>
        <w:spacing w:after="120"/>
      </w:pPr>
      <w:r>
        <w:t>Les travaux sur le terrain et/ou l’examen documentaire débute</w:t>
      </w:r>
      <w:r w:rsidR="00DF7DAA">
        <w:t>ront</w:t>
      </w:r>
      <w:r>
        <w:t xml:space="preserve"> dès que possible, comme le prévoit le contrat d’engagement.</w:t>
      </w:r>
    </w:p>
    <w:p w14:paraId="119AC67A" w14:textId="77777777" w:rsidR="00156B9A" w:rsidRDefault="007A3D90">
      <w:pPr>
        <w:pStyle w:val="P68B1DB1-Heading313"/>
      </w:pPr>
      <w:bookmarkStart w:id="351" w:name="_Toc183178859"/>
      <w:bookmarkStart w:id="352" w:name="_Toc183186333"/>
      <w:r>
        <w:t>Contexte de l’engagement</w:t>
      </w:r>
      <w:bookmarkEnd w:id="351"/>
      <w:bookmarkEnd w:id="352"/>
    </w:p>
    <w:p w14:paraId="79BD031E" w14:textId="77777777" w:rsidR="00156B9A" w:rsidRDefault="007A3D90">
      <w:pPr>
        <w:pStyle w:val="P68B1DB1-Normal5"/>
        <w:spacing w:after="120"/>
        <w:jc w:val="both"/>
        <w:rPr>
          <w:rFonts w:ascii="Arial" w:hAnsi="Arial" w:cs="Arial"/>
          <w:b/>
          <w:i/>
          <w:sz w:val="18"/>
        </w:rPr>
      </w:pPr>
      <w:r>
        <w:t xml:space="preserve">Les procédures du praticien devraient </w:t>
      </w:r>
      <w:proofErr w:type="gramStart"/>
      <w:r>
        <w:t>comprendre:</w:t>
      </w:r>
      <w:proofErr w:type="gramEnd"/>
    </w:p>
    <w:p w14:paraId="632D9D11" w14:textId="77777777" w:rsidR="00156B9A" w:rsidRDefault="007A3D90">
      <w:pPr>
        <w:pStyle w:val="P68B1DB1-Normal5"/>
        <w:spacing w:after="120"/>
        <w:jc w:val="both"/>
      </w:pPr>
      <w:r>
        <w:t>Avoir une compréhension du contexte de l’engagement.</w:t>
      </w:r>
    </w:p>
    <w:p w14:paraId="67EF8916" w14:textId="318540FE" w:rsidR="00156B9A" w:rsidRDefault="007A3D90">
      <w:pPr>
        <w:pStyle w:val="P68B1DB1-Normal5"/>
        <w:spacing w:after="120"/>
        <w:jc w:val="both"/>
      </w:pPr>
      <w:r>
        <w:lastRenderedPageBreak/>
        <w:t xml:space="preserve">Le praticien doit avoir une compréhension suffisante du contexte de la mission, y compris du projet, de l’entité déclarante, des dispositions législatives et réglementaires communautaires applicables au projet et des conditions contractuelles applicables au projet qui sont énoncées à la section 5 </w:t>
      </w:r>
      <w:r w:rsidR="006537A6">
        <w:t>ci</w:t>
      </w:r>
      <w:r>
        <w:t>-dessus (Champ d’application). Le praticien doit accorder une attention particulière aux conditions contractuelles relatives aux contrôles.</w:t>
      </w:r>
    </w:p>
    <w:p w14:paraId="6B6B111E" w14:textId="77777777" w:rsidR="00156B9A" w:rsidRDefault="007A3D90">
      <w:pPr>
        <w:pStyle w:val="P68B1DB1-Normal5"/>
        <w:spacing w:after="120"/>
        <w:jc w:val="both"/>
      </w:pPr>
      <w:r>
        <w:t>Le praticien doit identifier les contrôles qui sont pertinents et appropriés pour le projet et l’entité et pour la préparation du rapport financier de l’entité déclarante relatif au projet. Les contrôles doivent être adaptés à la gestion et à l’atténuation des risques qui pèsent sur la réalisation des objectifs du projet.</w:t>
      </w:r>
    </w:p>
    <w:p w14:paraId="057C9CF8" w14:textId="77777777" w:rsidR="00156B9A" w:rsidRDefault="007A3D90">
      <w:pPr>
        <w:pStyle w:val="P68B1DB1-Normal17"/>
        <w:autoSpaceDE w:val="0"/>
        <w:autoSpaceDN w:val="0"/>
        <w:adjustRightInd w:val="0"/>
        <w:spacing w:after="120"/>
        <w:jc w:val="both"/>
      </w:pPr>
      <w:r>
        <w:t>Le praticien doit tenir compte des aspects tant qualitatifs que quantitatifs, mais cet audit n’est pas un audit de performance et, par conséquent, il doit se concentrer sur les contrôles internes financiers plutôt que sur les contrôles opérationnels.</w:t>
      </w:r>
    </w:p>
    <w:p w14:paraId="189E8D52" w14:textId="77777777" w:rsidR="00156B9A" w:rsidRDefault="007A3D90">
      <w:pPr>
        <w:pStyle w:val="P68B1DB1-Normal5"/>
        <w:spacing w:after="120"/>
        <w:jc w:val="both"/>
      </w:pPr>
      <w:r>
        <w:t xml:space="preserve">Les contrôles et domaines de contrôle pertinents et appropriés pour le projet et l’entité comprennent, sans s’y limiter nécessairement, les principaux contrôles financiers liés aux catégories de recettes et de dépenses du rapport financier du projet et ceux qui sont importants pour la gestion et le contrôle des activités du projet. L’audit doit porter sur l’environnement de contrôle de l’entité déclarante et plus particulièrement </w:t>
      </w:r>
      <w:proofErr w:type="gramStart"/>
      <w:r>
        <w:t>sur:</w:t>
      </w:r>
      <w:proofErr w:type="gramEnd"/>
    </w:p>
    <w:p w14:paraId="15A0313F" w14:textId="77777777" w:rsidR="00156B9A" w:rsidRDefault="007A3D90">
      <w:pPr>
        <w:pStyle w:val="P68B1DB1-Normal5"/>
        <w:numPr>
          <w:ilvl w:val="1"/>
          <w:numId w:val="41"/>
        </w:numPr>
        <w:spacing w:after="120"/>
        <w:jc w:val="both"/>
      </w:pPr>
      <w:r>
        <w:t xml:space="preserve">Gestion des actifs (y compris le processus et les procédures de passation de marchés). Cela concerne la gestion et le contrôle des actifs immobilisés du projet tels que les véhicules, les équipements, etc.). </w:t>
      </w:r>
    </w:p>
    <w:p w14:paraId="3D8E090A" w14:textId="66292A3E" w:rsidR="00156B9A" w:rsidRDefault="007A3D90">
      <w:pPr>
        <w:pStyle w:val="P68B1DB1-Normal5"/>
        <w:numPr>
          <w:ilvl w:val="1"/>
          <w:numId w:val="41"/>
        </w:numPr>
        <w:spacing w:after="120"/>
        <w:jc w:val="both"/>
        <w:rPr>
          <w:rFonts w:ascii="Arial" w:hAnsi="Arial" w:cs="Arial"/>
          <w:sz w:val="18"/>
        </w:rPr>
      </w:pPr>
      <w:r>
        <w:t xml:space="preserve">Gestion de la </w:t>
      </w:r>
      <w:r w:rsidR="006A31C5">
        <w:t xml:space="preserve">caisse </w:t>
      </w:r>
      <w:r>
        <w:t xml:space="preserve">et de la banque (trésorerie). </w:t>
      </w:r>
    </w:p>
    <w:p w14:paraId="0CFDA598" w14:textId="77777777" w:rsidR="00156B9A" w:rsidRDefault="007A3D90">
      <w:pPr>
        <w:pStyle w:val="P68B1DB1-Normal5"/>
        <w:numPr>
          <w:ilvl w:val="1"/>
          <w:numId w:val="41"/>
        </w:numPr>
        <w:spacing w:after="120"/>
        <w:jc w:val="both"/>
      </w:pPr>
      <w:r>
        <w:t xml:space="preserve">Comptabilité et information financière (y compris les systèmes de traitement des transactions sous-jacentes et les registres financiers) </w:t>
      </w:r>
    </w:p>
    <w:p w14:paraId="79C66D57" w14:textId="25F698E8" w:rsidR="00156B9A" w:rsidRDefault="007A3D90">
      <w:pPr>
        <w:pStyle w:val="P68B1DB1-Normal5"/>
        <w:numPr>
          <w:ilvl w:val="1"/>
          <w:numId w:val="41"/>
        </w:numPr>
        <w:spacing w:after="120"/>
        <w:jc w:val="both"/>
      </w:pPr>
      <w:r>
        <w:t xml:space="preserve">Systèmes d’information informatisés </w:t>
      </w:r>
      <w:r w:rsidR="006A31C5">
        <w:t xml:space="preserve">– technologies d’information </w:t>
      </w:r>
      <w:r>
        <w:t>(TI)</w:t>
      </w:r>
    </w:p>
    <w:p w14:paraId="4C5D9A7E" w14:textId="3AFBB81A" w:rsidR="00156B9A" w:rsidRDefault="007A3D90">
      <w:pPr>
        <w:pStyle w:val="P68B1DB1-Normal5"/>
        <w:numPr>
          <w:ilvl w:val="1"/>
          <w:numId w:val="41"/>
        </w:numPr>
        <w:spacing w:after="120"/>
        <w:jc w:val="both"/>
      </w:pPr>
      <w:r>
        <w:t>Contrôle budgétaire et des dépenses (y compris le proc</w:t>
      </w:r>
      <w:r w:rsidR="00015CA7">
        <w:t>essus</w:t>
      </w:r>
      <w:r>
        <w:t xml:space="preserve"> et </w:t>
      </w:r>
      <w:r w:rsidR="00015CA7">
        <w:t xml:space="preserve">les </w:t>
      </w:r>
      <w:r>
        <w:t xml:space="preserve">procédures de passation de marchés) </w:t>
      </w:r>
    </w:p>
    <w:p w14:paraId="3DFC9F3A" w14:textId="77777777" w:rsidR="00156B9A" w:rsidRDefault="007A3D90">
      <w:pPr>
        <w:pStyle w:val="P68B1DB1-Normal5"/>
        <w:numPr>
          <w:ilvl w:val="1"/>
          <w:numId w:val="41"/>
        </w:numPr>
        <w:spacing w:after="120"/>
        <w:jc w:val="both"/>
      </w:pPr>
      <w:r>
        <w:t>Ressources humaines, processus de gestion des salaires et gestion du temps</w:t>
      </w:r>
    </w:p>
    <w:p w14:paraId="1F754A8A" w14:textId="748E132D" w:rsidR="00156B9A" w:rsidRDefault="007A3D90">
      <w:pPr>
        <w:pStyle w:val="P68B1DB1-Normal5"/>
        <w:spacing w:after="120"/>
        <w:jc w:val="both"/>
        <w:rPr>
          <w:rFonts w:cs="Arial"/>
        </w:rPr>
      </w:pPr>
      <w:r>
        <w:t>La compréhension doit être suffisante pour identifier et évaluer les principaux risques pour</w:t>
      </w:r>
      <w:r w:rsidR="00413881">
        <w:t xml:space="preserve"> </w:t>
      </w:r>
      <w:r>
        <w:rPr>
          <w:rFonts w:cs="Arial"/>
        </w:rPr>
        <w:t xml:space="preserve">atteindre les objectifs du projet, y compris, mais sans s’y limiter, le risque d’erreur, d’irrégularités et de fraude en ce qui concerne le financement du projet. </w:t>
      </w:r>
    </w:p>
    <w:p w14:paraId="71B95B22" w14:textId="77777777" w:rsidR="00156B9A" w:rsidRDefault="007A3D90">
      <w:pPr>
        <w:pStyle w:val="P68B1DB1-Normal5"/>
        <w:spacing w:after="120"/>
        <w:jc w:val="both"/>
      </w:pPr>
      <w:r>
        <w:t>La compréhension doit être suffisante pour concevoir et exécuter d’autres procédures d’audit.</w:t>
      </w:r>
    </w:p>
    <w:p w14:paraId="6EEA20BC" w14:textId="67C79430" w:rsidR="00156B9A" w:rsidRDefault="007A3D90">
      <w:pPr>
        <w:pStyle w:val="P68B1DB1-Normal5"/>
        <w:numPr>
          <w:ilvl w:val="0"/>
          <w:numId w:val="25"/>
        </w:numPr>
        <w:tabs>
          <w:tab w:val="clear" w:pos="720"/>
        </w:tabs>
        <w:spacing w:after="120"/>
        <w:ind w:left="284" w:hanging="284"/>
        <w:jc w:val="both"/>
      </w:pPr>
      <w:r>
        <w:t>Application de</w:t>
      </w:r>
      <w:r w:rsidR="00015CA7">
        <w:t xml:space="preserve"> matérialité</w:t>
      </w:r>
      <w:r>
        <w:t>.</w:t>
      </w:r>
    </w:p>
    <w:p w14:paraId="26F6B007" w14:textId="77777777" w:rsidR="00156B9A" w:rsidRDefault="007A3D90">
      <w:pPr>
        <w:pStyle w:val="P68B1DB1-Normal5"/>
        <w:spacing w:after="120"/>
        <w:jc w:val="both"/>
        <w:rPr>
          <w:snapToGrid w:val="0"/>
        </w:rPr>
      </w:pPr>
      <w:r>
        <w:t>Afin de déterminer s’il s’agit d’une faiblesse ou d’une déficience significative dans le système de contrôle interne, le praticien doit évaluer si l’absence ou l’inefficacité d’un contrôle ou d’une série de contrôles entraîne un risque significatif d’erreur significative, d’irrégularité ou de fraude dans l’utilisation des fonds du projet fournis par la Commission européenne.</w:t>
      </w:r>
    </w:p>
    <w:p w14:paraId="60CBCD64" w14:textId="77777777" w:rsidR="00156B9A" w:rsidRDefault="007A3D90">
      <w:pPr>
        <w:pStyle w:val="P68B1DB1-Normal5"/>
        <w:numPr>
          <w:ilvl w:val="0"/>
          <w:numId w:val="25"/>
        </w:numPr>
        <w:tabs>
          <w:tab w:val="clear" w:pos="720"/>
        </w:tabs>
        <w:spacing w:after="120"/>
        <w:ind w:left="284" w:hanging="284"/>
        <w:jc w:val="both"/>
      </w:pPr>
      <w:r>
        <w:t>Réalisation d’une évaluation des risques (annexe 2, point 1).</w:t>
      </w:r>
    </w:p>
    <w:p w14:paraId="05934ECC" w14:textId="77777777" w:rsidR="00156B9A" w:rsidRDefault="007A3D90">
      <w:pPr>
        <w:pStyle w:val="P68B1DB1-Normal5"/>
        <w:numPr>
          <w:ilvl w:val="0"/>
          <w:numId w:val="25"/>
        </w:numPr>
        <w:tabs>
          <w:tab w:val="clear" w:pos="720"/>
        </w:tabs>
        <w:spacing w:after="120"/>
        <w:ind w:left="284" w:hanging="284"/>
        <w:jc w:val="both"/>
      </w:pPr>
      <w:r>
        <w:t>Obtention de preuves concernant la conception des contrôles (annexe 2, point 2.1).</w:t>
      </w:r>
    </w:p>
    <w:p w14:paraId="7F4296F0" w14:textId="77777777" w:rsidR="00156B9A" w:rsidRDefault="007A3D90">
      <w:pPr>
        <w:pStyle w:val="P68B1DB1-Normal5"/>
        <w:numPr>
          <w:ilvl w:val="0"/>
          <w:numId w:val="25"/>
        </w:numPr>
        <w:tabs>
          <w:tab w:val="clear" w:pos="720"/>
        </w:tabs>
        <w:spacing w:after="120"/>
        <w:ind w:left="284" w:hanging="284"/>
        <w:jc w:val="both"/>
      </w:pPr>
      <w:r>
        <w:t>Réalisation d’essais de contrôle (annexe 2, point 2.2).</w:t>
      </w:r>
    </w:p>
    <w:p w14:paraId="38A5632F" w14:textId="77777777" w:rsidR="00156B9A" w:rsidRDefault="007A3D90">
      <w:pPr>
        <w:pStyle w:val="P68B1DB1-Normal5"/>
        <w:numPr>
          <w:ilvl w:val="0"/>
          <w:numId w:val="5"/>
        </w:numPr>
        <w:tabs>
          <w:tab w:val="clear" w:pos="720"/>
        </w:tabs>
        <w:spacing w:after="120"/>
        <w:ind w:left="284" w:hanging="284"/>
        <w:jc w:val="both"/>
        <w:rPr>
          <w:snapToGrid w:val="0"/>
        </w:rPr>
      </w:pPr>
      <w:r>
        <w:t>Échantillonnage et autres moyens de sélection des éléments à tester (annexe 2, point 2.3).</w:t>
      </w:r>
    </w:p>
    <w:p w14:paraId="3BDACE6D" w14:textId="77777777" w:rsidR="00156B9A" w:rsidRDefault="007A3D90">
      <w:pPr>
        <w:pStyle w:val="P68B1DB1-Normal5"/>
        <w:numPr>
          <w:ilvl w:val="0"/>
          <w:numId w:val="5"/>
        </w:numPr>
        <w:tabs>
          <w:tab w:val="clear" w:pos="720"/>
        </w:tabs>
        <w:spacing w:after="120"/>
        <w:ind w:left="284" w:hanging="284"/>
        <w:jc w:val="both"/>
        <w:rPr>
          <w:snapToGrid w:val="0"/>
        </w:rPr>
      </w:pPr>
      <w:r>
        <w:t>Utilisation des travaux des auditeurs internes (annexe 2, point 2.4).</w:t>
      </w:r>
    </w:p>
    <w:p w14:paraId="542E08F5" w14:textId="77777777" w:rsidR="00156B9A" w:rsidRDefault="007A3D90">
      <w:pPr>
        <w:pStyle w:val="P68B1DB1-Normal5"/>
        <w:numPr>
          <w:ilvl w:val="0"/>
          <w:numId w:val="5"/>
        </w:numPr>
        <w:tabs>
          <w:tab w:val="clear" w:pos="720"/>
        </w:tabs>
        <w:spacing w:after="120"/>
        <w:ind w:left="284" w:hanging="284"/>
        <w:jc w:val="both"/>
      </w:pPr>
      <w:r>
        <w:t>Obtention de déclarations écrites (annexe 2, point 2.5).</w:t>
      </w:r>
    </w:p>
    <w:p w14:paraId="051A8549" w14:textId="77777777" w:rsidR="00156B9A" w:rsidRDefault="00156B9A"/>
    <w:p w14:paraId="6577F2AC" w14:textId="77777777" w:rsidR="00156B9A" w:rsidRDefault="007A3D90">
      <w:pPr>
        <w:pStyle w:val="P68B1DB1-Heading313"/>
      </w:pPr>
      <w:bookmarkStart w:id="353" w:name="_Toc183178860"/>
      <w:bookmarkStart w:id="354" w:name="_Toc183186334"/>
      <w:r>
        <w:lastRenderedPageBreak/>
        <w:t>Note de fin de mission et réunion de clôture</w:t>
      </w:r>
      <w:bookmarkEnd w:id="353"/>
      <w:bookmarkEnd w:id="354"/>
    </w:p>
    <w:p w14:paraId="45A59051" w14:textId="04E562B4" w:rsidR="00156B9A" w:rsidRDefault="007A3D90">
      <w:pPr>
        <w:pStyle w:val="P68B1DB1-Normal5"/>
        <w:spacing w:after="120"/>
        <w:jc w:val="both"/>
      </w:pPr>
      <w:r>
        <w:t xml:space="preserve">À l’issue du travail sur le terrain ou de l’examen documentaire, le praticien doit préparer une note de compte rendu, organiser une réunion de clôture avec l’entité déclarante afin de discuter des conclusions, obtenir ses premières observations et convenir d’informations supplémentaires à fournir ultérieurement. </w:t>
      </w:r>
      <w:r w:rsidRPr="00A57604">
        <w:rPr>
          <w:highlight w:val="lightGray"/>
        </w:rPr>
        <w:t>Le représentant du pouvoir adjudicateur, chargé de l’audit, sera invité à assister à la réunion de clôture.</w:t>
      </w:r>
    </w:p>
    <w:p w14:paraId="7B9E597A" w14:textId="77777777" w:rsidR="00156B9A" w:rsidRDefault="00156B9A"/>
    <w:p w14:paraId="04DB864C" w14:textId="77777777" w:rsidR="00156B9A" w:rsidRDefault="007A3D90">
      <w:pPr>
        <w:pStyle w:val="P68B1DB1-Heading313"/>
        <w:spacing w:before="0" w:after="120"/>
        <w:jc w:val="both"/>
      </w:pPr>
      <w:bookmarkStart w:id="355" w:name="_Toc183178861"/>
      <w:bookmarkStart w:id="356" w:name="_Toc183186335"/>
      <w:r>
        <w:t>Lettre complémentaire</w:t>
      </w:r>
      <w:bookmarkEnd w:id="355"/>
      <w:bookmarkEnd w:id="356"/>
    </w:p>
    <w:p w14:paraId="74BBD784" w14:textId="77777777" w:rsidR="00156B9A" w:rsidRDefault="007A3D90">
      <w:pPr>
        <w:pStyle w:val="P68B1DB1-Normal5"/>
        <w:spacing w:after="120"/>
        <w:jc w:val="both"/>
      </w:pPr>
      <w:r>
        <w:t>Le praticien peut, à tout moment du processus d’engagement, rédiger une lettre complémentaire pour informer la Commission des faits et questions considérés comme présentant un intérêt et une importance particuliers. Les suspicions de fraude ou d’irrégularité devront être immédiatement signalées.</w:t>
      </w:r>
    </w:p>
    <w:p w14:paraId="6547CED9" w14:textId="77777777" w:rsidR="00156B9A" w:rsidRDefault="00156B9A">
      <w:pPr>
        <w:spacing w:after="120"/>
        <w:jc w:val="both"/>
      </w:pPr>
    </w:p>
    <w:p w14:paraId="0ED74A41" w14:textId="0222860D" w:rsidR="00156B9A" w:rsidRDefault="007A3D90">
      <w:pPr>
        <w:pStyle w:val="P68B1DB1-Heading313"/>
        <w:spacing w:before="0" w:after="120"/>
        <w:jc w:val="both"/>
      </w:pPr>
      <w:bookmarkStart w:id="357" w:name="_Toc183178862"/>
      <w:bookmarkStart w:id="358" w:name="_Toc183186336"/>
      <w:r>
        <w:t>Documentation et informations d</w:t>
      </w:r>
      <w:r w:rsidR="007E7896">
        <w:t>’audit</w:t>
      </w:r>
      <w:bookmarkEnd w:id="357"/>
      <w:bookmarkEnd w:id="358"/>
    </w:p>
    <w:p w14:paraId="744856E8" w14:textId="7E03E8EF" w:rsidR="00156B9A" w:rsidRDefault="007A3D90">
      <w:pPr>
        <w:pStyle w:val="P68B1DB1-Normal5"/>
        <w:spacing w:after="120"/>
        <w:jc w:val="both"/>
      </w:pPr>
      <w:r>
        <w:t>Le praticien doit, conformément à la norme ISAE 3000 (révisée), préparer la documentation d’audit et obtenir suffisamment d’éléments probants appropriés pour étayer les constatations d’audit et tirer des conclusions raisonnables sur lesquelles fonder l’opinion d’audit.</w:t>
      </w:r>
    </w:p>
    <w:p w14:paraId="163B046F" w14:textId="5F8784EA" w:rsidR="00156B9A" w:rsidRDefault="007A3D90">
      <w:pPr>
        <w:pStyle w:val="P68B1DB1-Normal5"/>
        <w:spacing w:after="120"/>
        <w:jc w:val="both"/>
      </w:pPr>
      <w:r>
        <w:t>Le praticien documente des questions qui sont importantes pour fournir des éléments de preuve à l’appui du rapport sur les constatations et la preuve que le travail a été effectué conformément à la norme ISAE 3000 (révisée) et au présent cahier des charges.</w:t>
      </w:r>
    </w:p>
    <w:p w14:paraId="7125DD6E" w14:textId="77777777" w:rsidR="00156B9A" w:rsidRDefault="00156B9A">
      <w:pPr>
        <w:jc w:val="both"/>
      </w:pPr>
      <w:bookmarkStart w:id="359" w:name="_Toc278903681"/>
      <w:bookmarkStart w:id="360" w:name="_Toc278903707"/>
      <w:bookmarkStart w:id="361" w:name="_Toc278903971"/>
      <w:bookmarkStart w:id="362" w:name="_Toc278956364"/>
      <w:bookmarkStart w:id="363" w:name="_Toc278957667"/>
      <w:bookmarkStart w:id="364" w:name="_Toc278183584"/>
      <w:bookmarkStart w:id="365" w:name="_Toc278191366"/>
      <w:bookmarkStart w:id="366" w:name="_Toc278199270"/>
      <w:bookmarkStart w:id="367" w:name="_Toc278200061"/>
      <w:bookmarkStart w:id="368" w:name="_Toc278537871"/>
      <w:bookmarkStart w:id="369" w:name="_Toc278903682"/>
      <w:bookmarkStart w:id="370" w:name="_Toc278903708"/>
      <w:bookmarkStart w:id="371" w:name="_Toc278903972"/>
      <w:bookmarkStart w:id="372" w:name="_Toc278956365"/>
      <w:bookmarkStart w:id="373" w:name="_Toc278957668"/>
      <w:bookmarkStart w:id="374" w:name="_Toc278183585"/>
      <w:bookmarkStart w:id="375" w:name="_Toc278191367"/>
      <w:bookmarkStart w:id="376" w:name="_Toc278199271"/>
      <w:bookmarkStart w:id="377" w:name="_Toc278200062"/>
      <w:bookmarkStart w:id="378" w:name="_Toc278537872"/>
      <w:bookmarkStart w:id="379" w:name="_Toc278903683"/>
      <w:bookmarkStart w:id="380" w:name="_Toc278903709"/>
      <w:bookmarkStart w:id="381" w:name="_Toc278903973"/>
      <w:bookmarkStart w:id="382" w:name="_Toc278956366"/>
      <w:bookmarkStart w:id="383" w:name="_Toc278957669"/>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p>
    <w:p w14:paraId="54ACAD43" w14:textId="77777777" w:rsidR="00156B9A" w:rsidRDefault="007A3D90">
      <w:pPr>
        <w:pStyle w:val="P68B1DB1-Heading212"/>
        <w:spacing w:after="120"/>
        <w:ind w:left="578" w:hanging="578"/>
        <w:jc w:val="both"/>
      </w:pPr>
      <w:bookmarkStart w:id="384" w:name="_Toc115353896"/>
      <w:bookmarkStart w:id="385" w:name="_Toc115362066"/>
      <w:bookmarkStart w:id="386" w:name="_Toc115353898"/>
      <w:bookmarkStart w:id="387" w:name="_Toc115362068"/>
      <w:bookmarkStart w:id="388" w:name="_Toc115353903"/>
      <w:bookmarkStart w:id="389" w:name="_Toc115362073"/>
      <w:bookmarkStart w:id="390" w:name="_Toc115353905"/>
      <w:bookmarkStart w:id="391" w:name="_Toc115362075"/>
      <w:bookmarkStart w:id="392" w:name="_Toc115353917"/>
      <w:bookmarkStart w:id="393" w:name="_Toc115362087"/>
      <w:bookmarkStart w:id="394" w:name="_Toc115353918"/>
      <w:bookmarkStart w:id="395" w:name="_Toc115362088"/>
      <w:bookmarkStart w:id="396" w:name="_Toc115353921"/>
      <w:bookmarkStart w:id="397" w:name="_Toc115362091"/>
      <w:bookmarkStart w:id="398" w:name="_Toc277764737"/>
      <w:bookmarkStart w:id="399" w:name="_Toc183178863"/>
      <w:bookmarkStart w:id="400" w:name="_Toc183186337"/>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r>
        <w:t>Rapports</w:t>
      </w:r>
      <w:bookmarkEnd w:id="398"/>
      <w:bookmarkEnd w:id="399"/>
      <w:bookmarkEnd w:id="400"/>
    </w:p>
    <w:p w14:paraId="7F7FB72E" w14:textId="77777777" w:rsidR="00156B9A" w:rsidRDefault="007A3D90">
      <w:pPr>
        <w:pStyle w:val="P68B1DB1-Heading313"/>
        <w:spacing w:before="0" w:after="120"/>
        <w:jc w:val="both"/>
      </w:pPr>
      <w:bookmarkStart w:id="401" w:name="_Toc102742193"/>
      <w:bookmarkStart w:id="402" w:name="_Toc183178864"/>
      <w:bookmarkStart w:id="403" w:name="_Toc183186338"/>
      <w:r>
        <w:t>Structure et contenu du rapport</w:t>
      </w:r>
      <w:bookmarkEnd w:id="401"/>
      <w:bookmarkEnd w:id="402"/>
      <w:bookmarkEnd w:id="403"/>
    </w:p>
    <w:p w14:paraId="61A369BA" w14:textId="6FBEE76D" w:rsidR="00156B9A" w:rsidRDefault="007A3D90">
      <w:pPr>
        <w:pStyle w:val="P68B1DB1-Normal5"/>
        <w:spacing w:after="120"/>
        <w:jc w:val="both"/>
      </w:pPr>
      <w:r>
        <w:t xml:space="preserve">L’utilisation du modèle de rapport d’audit du système figurant à l’annexe 3 du présent cahier des charges est </w:t>
      </w:r>
      <w:r>
        <w:rPr>
          <w:b/>
          <w:u w:val="single"/>
        </w:rPr>
        <w:t>obligatoire</w:t>
      </w:r>
      <w:r>
        <w:t>.</w:t>
      </w:r>
    </w:p>
    <w:p w14:paraId="551BF4E3" w14:textId="63FCE2F6" w:rsidR="00156B9A" w:rsidRDefault="007A3D90">
      <w:pPr>
        <w:pStyle w:val="P68B1DB1-Normal5"/>
        <w:spacing w:after="120"/>
        <w:jc w:val="both"/>
      </w:pPr>
      <w:r>
        <w:t xml:space="preserve">Le rapport doit être </w:t>
      </w:r>
      <w:r w:rsidR="00DF7DAA">
        <w:t xml:space="preserve">rédigé en </w:t>
      </w:r>
      <w:r w:rsidR="00DF7DAA" w:rsidRPr="00BC2DF3">
        <w:rPr>
          <w:szCs w:val="24"/>
          <w:lang w:val="fr-BE"/>
        </w:rPr>
        <w:t>&lt;</w:t>
      </w:r>
      <w:r w:rsidR="00DF7DAA" w:rsidRPr="00BC2DF3">
        <w:rPr>
          <w:szCs w:val="24"/>
          <w:highlight w:val="yellow"/>
          <w:lang w:val="fr-BE"/>
        </w:rPr>
        <w:t>langue</w:t>
      </w:r>
      <w:proofErr w:type="gramStart"/>
      <w:r w:rsidR="00DF7DAA" w:rsidRPr="00BC2DF3">
        <w:rPr>
          <w:szCs w:val="24"/>
          <w:lang w:val="fr-BE"/>
        </w:rPr>
        <w:t>&gt;</w:t>
      </w:r>
      <w:r w:rsidR="00DF7DAA">
        <w:t>.</w:t>
      </w:r>
      <w:r>
        <w:t>.</w:t>
      </w:r>
      <w:proofErr w:type="gramEnd"/>
      <w:r>
        <w:t xml:space="preserve"> [</w:t>
      </w:r>
      <w:r w:rsidRPr="00A57604">
        <w:rPr>
          <w:highlight w:val="lightGray"/>
        </w:rPr>
        <w:t>Un résumé du rapport en</w:t>
      </w:r>
      <w:r>
        <w:t xml:space="preserve"> </w:t>
      </w:r>
      <w:r w:rsidR="00015CA7">
        <w:t>&lt;</w:t>
      </w:r>
      <w:r>
        <w:rPr>
          <w:highlight w:val="yellow"/>
        </w:rPr>
        <w:t>anglais/français</w:t>
      </w:r>
      <w:r>
        <w:t>&gt;</w:t>
      </w:r>
      <w:r w:rsidRPr="00A57604">
        <w:rPr>
          <w:highlight w:val="lightGray"/>
        </w:rPr>
        <w:t xml:space="preserve"> d</w:t>
      </w:r>
      <w:r w:rsidR="00015CA7">
        <w:rPr>
          <w:highlight w:val="lightGray"/>
        </w:rPr>
        <w:t>o</w:t>
      </w:r>
      <w:r w:rsidRPr="00A57604">
        <w:rPr>
          <w:highlight w:val="lightGray"/>
        </w:rPr>
        <w:t>it être fourni en même temps que le rapport.</w:t>
      </w:r>
      <w:r>
        <w:t>]</w:t>
      </w:r>
    </w:p>
    <w:p w14:paraId="569C5998" w14:textId="63BAEC42" w:rsidR="00156B9A" w:rsidRDefault="007A3D90">
      <w:pPr>
        <w:pStyle w:val="P68B1DB1-Normal5"/>
        <w:spacing w:after="120"/>
        <w:jc w:val="both"/>
      </w:pPr>
      <w:r>
        <w:t>Lors de la soumission du rapport final, le praticien doit documenter et expliquer tout retard dans le calendrier de déclaration prévu aux 3 paragraphes suivants, en utilisant le modèle annexé au présent cahier des charges (le cas échéant).</w:t>
      </w:r>
    </w:p>
    <w:p w14:paraId="2C8E8D05" w14:textId="01BE5F4A" w:rsidR="00156B9A" w:rsidRDefault="007A3D90">
      <w:pPr>
        <w:pStyle w:val="P68B1DB1-Normal5"/>
        <w:spacing w:after="120"/>
        <w:jc w:val="both"/>
      </w:pPr>
      <w:r>
        <w:t>Le praticien soumettra un projet de rapport au pouvoir adjudicateur dans un délai de 21 jours calendrier à compter de la conclusion du travail sur le terrain ou de l’examen documentaire. Après avoir reçu l’autorisation du pouvoir adjudicateur, le praticien soumettra le projet de rapport à l’entité déclarante et demandera à recevoir ses observations dans un délai de 21 jours c</w:t>
      </w:r>
      <w:r w:rsidR="009D3DCE">
        <w:t>alendrier</w:t>
      </w:r>
      <w:r>
        <w:t>. Le pouvoir adjudicateur peut prévoir une réunion avec le praticien avant d’autoriser la transmission du projet de rapport à l’entité déclarante. Le délai pour autoriser le vérificateur des dépenses à transmettre le projet de rapport sera de 21 jours calendrier après la réception du projet de rapport.</w:t>
      </w:r>
    </w:p>
    <w:p w14:paraId="73C4C983" w14:textId="4D50E76F" w:rsidR="00156B9A" w:rsidRDefault="007A3D90">
      <w:pPr>
        <w:pStyle w:val="P68B1DB1-Normal5"/>
        <w:spacing w:after="120"/>
        <w:jc w:val="both"/>
      </w:pPr>
      <w:r>
        <w:t xml:space="preserve">7 jours </w:t>
      </w:r>
      <w:r w:rsidR="00DF7DAA">
        <w:t>calend</w:t>
      </w:r>
      <w:r w:rsidR="009D3DCE">
        <w:t>rier</w:t>
      </w:r>
      <w:r w:rsidR="00DF7DAA">
        <w:t xml:space="preserve"> </w:t>
      </w:r>
      <w:r>
        <w:t>après réception des observations de l’entité déclarante, le praticien soumettra un rapport pré</w:t>
      </w:r>
      <w:r w:rsidR="001C387F">
        <w:t>-</w:t>
      </w:r>
      <w:r>
        <w:t>final au pouvoir adjudicateur pour commentaires et approbation. Le pouvoir adjudicateur peut demander au praticien d’effectuer des travaux supplémentaires, auquel cas un délai de notification doit être convenu au cas par cas.</w:t>
      </w:r>
    </w:p>
    <w:p w14:paraId="5ECFF573" w14:textId="596C2E77" w:rsidR="00156B9A" w:rsidRDefault="007A3D90">
      <w:pPr>
        <w:spacing w:after="120"/>
        <w:jc w:val="both"/>
        <w:rPr>
          <w:color w:val="0078D4"/>
          <w:u w:val="single"/>
          <w:shd w:val="clear" w:color="auto" w:fill="FFFFFF"/>
        </w:rPr>
      </w:pPr>
      <w:r>
        <w:rPr>
          <w:sz w:val="22"/>
        </w:rPr>
        <w:t xml:space="preserve">7 jours </w:t>
      </w:r>
      <w:r w:rsidR="00DF7DAA">
        <w:rPr>
          <w:sz w:val="22"/>
        </w:rPr>
        <w:t>calend</w:t>
      </w:r>
      <w:r w:rsidR="009D3DCE">
        <w:rPr>
          <w:sz w:val="22"/>
        </w:rPr>
        <w:t>rier</w:t>
      </w:r>
      <w:r w:rsidR="00DF7DAA">
        <w:rPr>
          <w:sz w:val="22"/>
        </w:rPr>
        <w:t xml:space="preserve"> </w:t>
      </w:r>
      <w:r>
        <w:rPr>
          <w:sz w:val="22"/>
        </w:rPr>
        <w:t>après réception des observations du pouvoir adjudicateur, le praticien soumettra le rapport final à l’approbation du pouvoir adjudicateur.</w:t>
      </w:r>
      <w:r>
        <w:rPr>
          <w:color w:val="0078D4"/>
          <w:u w:val="single"/>
          <w:shd w:val="clear" w:color="auto" w:fill="FFFFFF"/>
        </w:rPr>
        <w:t xml:space="preserve"> </w:t>
      </w:r>
    </w:p>
    <w:p w14:paraId="5F73987B" w14:textId="112DEDAF" w:rsidR="00156B9A" w:rsidRDefault="007A3D90">
      <w:pPr>
        <w:pStyle w:val="P68B1DB1-Normal5"/>
        <w:spacing w:after="120"/>
        <w:jc w:val="both"/>
      </w:pPr>
      <w:r>
        <w:lastRenderedPageBreak/>
        <w:t>Après approbation du pouvoir adjudicateur, le praticien notifie le rapport final à l’entité déclarante. Le pouvoir adjudicateur sera en copie de cette notification.</w:t>
      </w:r>
    </w:p>
    <w:p w14:paraId="70AD841E" w14:textId="77777777" w:rsidR="00156B9A" w:rsidRDefault="007A3D90">
      <w:pPr>
        <w:pStyle w:val="P68B1DB1-Heading313"/>
        <w:jc w:val="both"/>
      </w:pPr>
      <w:bookmarkStart w:id="404" w:name="_Toc485887180"/>
      <w:bookmarkStart w:id="405" w:name="_Toc102742194"/>
      <w:bookmarkStart w:id="406" w:name="_Toc183178865"/>
      <w:bookmarkStart w:id="407" w:name="_Toc183186339"/>
      <w:r>
        <w:t>Conclusions et recommandations</w:t>
      </w:r>
      <w:bookmarkEnd w:id="404"/>
      <w:bookmarkEnd w:id="405"/>
      <w:bookmarkEnd w:id="406"/>
      <w:bookmarkEnd w:id="407"/>
    </w:p>
    <w:p w14:paraId="4BB26025" w14:textId="64BA5194" w:rsidR="00156B9A" w:rsidRDefault="007A3D90">
      <w:pPr>
        <w:pStyle w:val="P68B1DB1-Normal5"/>
        <w:spacing w:after="120"/>
        <w:jc w:val="both"/>
      </w:pPr>
      <w:r>
        <w:t xml:space="preserve">Les constatations sont communiquées conformément aux formats et critères spécifiés dans le modèle de rapport sur les audits du système (annexe 3). La description des constatations comprendra la norme appliquée/les critères (par exemple, </w:t>
      </w:r>
      <w:proofErr w:type="gramStart"/>
      <w:r>
        <w:t>article xx</w:t>
      </w:r>
      <w:proofErr w:type="gramEnd"/>
      <w:r>
        <w:t xml:space="preserve"> des conditions générales du contrat), les faits établis, une description des causes sous-jacentes et l’impact. </w:t>
      </w:r>
    </w:p>
    <w:p w14:paraId="151F3EFD" w14:textId="368AA649" w:rsidR="00156B9A" w:rsidRDefault="007A3D90">
      <w:pPr>
        <w:pStyle w:val="P68B1DB1-Normal5"/>
        <w:spacing w:after="120"/>
        <w:jc w:val="both"/>
      </w:pPr>
      <w:r>
        <w:t>L’attention du praticien est spécifiquement attirée sur les constatations de faiblesses ou d’insuffisances dans les contrôles. Il existe une faiblesse ou une déficience dans les contrôles lorsqu’un contrôle ou une série de contrôles ne permet pas raisonnablement de prévenir ou de détecter des risques susceptibles d’avoir une incidence négative sur les objectifs du contrat financé (voir annexe 2, point 1, évaluation des risques).</w:t>
      </w:r>
    </w:p>
    <w:p w14:paraId="6AC037B0" w14:textId="77777777" w:rsidR="00156B9A" w:rsidRDefault="007A3D90">
      <w:pPr>
        <w:pStyle w:val="P68B1DB1-Normal5"/>
        <w:spacing w:after="120"/>
        <w:jc w:val="both"/>
      </w:pPr>
      <w:r>
        <w:t>Le rapport inclut également, dans la section pertinente, les éventuelles constatations systémiques non financières que le praticien a identifiées en détaillant la nature des constatations et indique si les erreurs relevées sont suffisamment importantes pour être signalées comme étant potentiellement systémiques.</w:t>
      </w:r>
    </w:p>
    <w:p w14:paraId="6B255B96" w14:textId="77777777" w:rsidR="00156B9A" w:rsidRDefault="007A3D90">
      <w:pPr>
        <w:pStyle w:val="P68B1DB1-Heading313"/>
        <w:jc w:val="both"/>
      </w:pPr>
      <w:bookmarkStart w:id="408" w:name="_Toc485887184"/>
      <w:bookmarkStart w:id="409" w:name="_Toc102742195"/>
      <w:bookmarkStart w:id="410" w:name="_Toc183178866"/>
      <w:bookmarkStart w:id="411" w:name="_Toc183186340"/>
      <w:r>
        <w:t xml:space="preserve">Réunion de débriefing avec le </w:t>
      </w:r>
      <w:bookmarkEnd w:id="408"/>
      <w:r>
        <w:t>pouvoir adjudicateur</w:t>
      </w:r>
      <w:bookmarkEnd w:id="409"/>
      <w:bookmarkEnd w:id="410"/>
      <w:bookmarkEnd w:id="411"/>
    </w:p>
    <w:p w14:paraId="133784FA" w14:textId="22D5D1F2" w:rsidR="00156B9A" w:rsidRDefault="007A3D90">
      <w:pPr>
        <w:pStyle w:val="P68B1DB1-Normal5"/>
        <w:keepLines/>
        <w:spacing w:after="120"/>
        <w:jc w:val="both"/>
      </w:pPr>
      <w:r w:rsidRPr="00A57604">
        <w:rPr>
          <w:highlight w:val="lightGray"/>
        </w:rPr>
        <w:t>Le pouvoir adjudicateur prévoit une réunion avec le praticien après réception du rapport pré</w:t>
      </w:r>
      <w:r w:rsidR="00FD3D5D">
        <w:rPr>
          <w:highlight w:val="lightGray"/>
        </w:rPr>
        <w:t>-</w:t>
      </w:r>
      <w:r w:rsidRPr="00A57604">
        <w:rPr>
          <w:highlight w:val="lightGray"/>
        </w:rPr>
        <w:t xml:space="preserve">final. Cette réunion se tiendra au </w:t>
      </w:r>
      <w:r w:rsidR="00DF7DAA" w:rsidRPr="00260F6D">
        <w:rPr>
          <w:szCs w:val="24"/>
          <w:highlight w:val="yellow"/>
          <w:lang w:val="fr-BE"/>
        </w:rPr>
        <w:t xml:space="preserve">Choisir une option ou les </w:t>
      </w:r>
      <w:proofErr w:type="gramStart"/>
      <w:r w:rsidR="00DF7DAA" w:rsidRPr="00260F6D">
        <w:rPr>
          <w:szCs w:val="24"/>
          <w:highlight w:val="yellow"/>
          <w:lang w:val="fr-BE"/>
        </w:rPr>
        <w:t>deux</w:t>
      </w:r>
      <w:r w:rsidR="00DF7DAA" w:rsidRPr="00260F6D">
        <w:rPr>
          <w:szCs w:val="24"/>
          <w:lang w:val="fr-BE"/>
        </w:rPr>
        <w:t xml:space="preserve"> </w:t>
      </w:r>
      <w:r w:rsidR="00DF7DAA">
        <w:t xml:space="preserve"> </w:t>
      </w:r>
      <w:r>
        <w:rPr>
          <w:shd w:val="clear" w:color="auto" w:fill="D9D9D9"/>
        </w:rPr>
        <w:t>conférence</w:t>
      </w:r>
      <w:proofErr w:type="gramEnd"/>
      <w:r>
        <w:rPr>
          <w:shd w:val="clear" w:color="auto" w:fill="D9D9D9"/>
        </w:rPr>
        <w:t xml:space="preserve"> téléphonique, soit </w:t>
      </w:r>
      <w:r w:rsidRPr="00A57604">
        <w:rPr>
          <w:highlight w:val="lightGray"/>
        </w:rPr>
        <w:t>au</w:t>
      </w:r>
      <w:r>
        <w:t xml:space="preserve"> </w:t>
      </w:r>
      <w:r w:rsidR="00FD3D5D">
        <w:t>&lt;</w:t>
      </w:r>
      <w:r>
        <w:rPr>
          <w:highlight w:val="yellow"/>
        </w:rPr>
        <w:t>nom et à l’adresse du service, et le</w:t>
      </w:r>
      <w:r w:rsidR="00DF7DAA">
        <w:rPr>
          <w:highlight w:val="yellow"/>
        </w:rPr>
        <w:t xml:space="preserve"> </w:t>
      </w:r>
      <w:r>
        <w:rPr>
          <w:highlight w:val="yellow"/>
          <w:shd w:val="clear" w:color="auto" w:fill="C0C0C0"/>
        </w:rPr>
        <w:t xml:space="preserve">lieu de réunion </w:t>
      </w:r>
      <w:r w:rsidR="00DF7DAA">
        <w:rPr>
          <w:highlight w:val="yellow"/>
          <w:shd w:val="clear" w:color="auto" w:fill="C0C0C0"/>
        </w:rPr>
        <w:t xml:space="preserve">doivent </w:t>
      </w:r>
      <w:r>
        <w:rPr>
          <w:highlight w:val="yellow"/>
          <w:shd w:val="clear" w:color="auto" w:fill="C0C0C0"/>
        </w:rPr>
        <w:t>être clairement indiqué</w:t>
      </w:r>
      <w:r w:rsidR="00FD3D5D">
        <w:t>&gt;</w:t>
      </w:r>
      <w:r>
        <w:t>.</w:t>
      </w:r>
      <w:r w:rsidRPr="00A57604">
        <w:rPr>
          <w:highlight w:val="lightGray"/>
        </w:rPr>
        <w:t>]</w:t>
      </w:r>
    </w:p>
    <w:p w14:paraId="53F52B7C" w14:textId="77777777" w:rsidR="00156B9A" w:rsidRDefault="007A3D90">
      <w:pPr>
        <w:pStyle w:val="P68B1DB1-Heading313"/>
        <w:jc w:val="both"/>
      </w:pPr>
      <w:bookmarkStart w:id="412" w:name="_Toc102742196"/>
      <w:bookmarkStart w:id="413" w:name="_Toc183178867"/>
      <w:bookmarkStart w:id="414" w:name="_Toc183186341"/>
      <w:r>
        <w:t>Accès aux pièces justificatives</w:t>
      </w:r>
      <w:bookmarkEnd w:id="412"/>
      <w:bookmarkEnd w:id="413"/>
      <w:bookmarkEnd w:id="414"/>
    </w:p>
    <w:p w14:paraId="7F920484" w14:textId="678F2189" w:rsidR="00156B9A" w:rsidRDefault="007A3D90">
      <w:pPr>
        <w:pStyle w:val="P68B1DB1-Normal5"/>
        <w:spacing w:after="120"/>
        <w:jc w:val="both"/>
        <w:rPr>
          <w:snapToGrid w:val="0"/>
          <w:highlight w:val="yellow"/>
          <w:shd w:val="clear" w:color="auto" w:fill="D9D9D9"/>
        </w:rPr>
      </w:pPr>
      <w:r>
        <w:t>Le praticien conserve des copies électroniques des pièces justificatives examinées pour tous les éléments inclus dans l’échantillon</w:t>
      </w:r>
      <w:r w:rsidR="00FD3D5D">
        <w:t>,</w:t>
      </w:r>
      <w:r>
        <w:t xml:space="preserve"> et les fournit à l’administration contractante sur demande</w:t>
      </w:r>
      <w:r w:rsidR="00FD3D5D">
        <w:t>,</w:t>
      </w:r>
      <w:r>
        <w:t xml:space="preserve"> pendant une période de 5 ans à compter de l’approbation du rapport d’audit final.</w:t>
      </w:r>
    </w:p>
    <w:p w14:paraId="1FC43F4E" w14:textId="77777777" w:rsidR="00156B9A" w:rsidRDefault="007A3D90">
      <w:pPr>
        <w:pStyle w:val="P68B1DB1-Heading313"/>
        <w:jc w:val="both"/>
      </w:pPr>
      <w:bookmarkStart w:id="415" w:name="_Toc183178868"/>
      <w:bookmarkStart w:id="416" w:name="_Toc183186342"/>
      <w:r>
        <w:t>Avis d’audit</w:t>
      </w:r>
      <w:bookmarkEnd w:id="415"/>
      <w:bookmarkEnd w:id="416"/>
    </w:p>
    <w:p w14:paraId="46BD56D9" w14:textId="6DC013E5" w:rsidR="00156B9A" w:rsidRDefault="007A3D90">
      <w:pPr>
        <w:pStyle w:val="P68B1DB1-Normal5"/>
        <w:keepLines/>
        <w:spacing w:after="120"/>
        <w:jc w:val="both"/>
        <w:rPr>
          <w:rFonts w:ascii="Arial" w:hAnsi="Arial" w:cs="Arial"/>
          <w:b/>
          <w:i/>
          <w:sz w:val="18"/>
        </w:rPr>
      </w:pPr>
      <w:r>
        <w:t>Les opinions d’audit peuvent être sans réserve, assorties de réserves, défavorables ou non</w:t>
      </w:r>
      <w:r w:rsidR="00FD3D5D">
        <w:t xml:space="preserve">-responsabilité </w:t>
      </w:r>
      <w:r>
        <w:t xml:space="preserve">et doivent être formulées conformément aux formats du rapport de l’auditeur indépendant pour un audit des systèmes. Ces formats sont inclus dans le modèle de rapport d’audit des systèmes figurant à l’annexe 3. Le modèle de rapport contient également des orientations pour l’utilisation des avis. </w:t>
      </w:r>
    </w:p>
    <w:p w14:paraId="68B98F8E" w14:textId="77777777" w:rsidR="00156B9A" w:rsidRDefault="007A3D90">
      <w:pPr>
        <w:pStyle w:val="P68B1DB1-Heading111"/>
        <w:spacing w:before="360" w:after="120"/>
        <w:ind w:left="431" w:hanging="431"/>
      </w:pPr>
      <w:bookmarkStart w:id="417" w:name="_Toc115353930"/>
      <w:bookmarkStart w:id="418" w:name="_Toc115362100"/>
      <w:bookmarkStart w:id="419" w:name="_Toc115353931"/>
      <w:bookmarkStart w:id="420" w:name="_Toc115362101"/>
      <w:bookmarkStart w:id="421" w:name="_Toc115353934"/>
      <w:bookmarkStart w:id="422" w:name="_Toc115362104"/>
      <w:bookmarkStart w:id="423" w:name="_Toc115353935"/>
      <w:bookmarkStart w:id="424" w:name="_Toc115362105"/>
      <w:bookmarkStart w:id="425" w:name="_Toc115353937"/>
      <w:bookmarkStart w:id="426" w:name="_Toc115362107"/>
      <w:bookmarkStart w:id="427" w:name="_Toc296610347"/>
      <w:bookmarkStart w:id="428" w:name="_Toc183178869"/>
      <w:bookmarkStart w:id="429" w:name="_Toc183186343"/>
      <w:bookmarkEnd w:id="111"/>
      <w:bookmarkEnd w:id="417"/>
      <w:bookmarkEnd w:id="418"/>
      <w:bookmarkEnd w:id="419"/>
      <w:bookmarkEnd w:id="420"/>
      <w:bookmarkEnd w:id="421"/>
      <w:bookmarkEnd w:id="422"/>
      <w:bookmarkEnd w:id="423"/>
      <w:bookmarkEnd w:id="424"/>
      <w:bookmarkEnd w:id="425"/>
      <w:bookmarkEnd w:id="426"/>
      <w:r>
        <w:t>Autres aspects</w:t>
      </w:r>
      <w:bookmarkEnd w:id="427"/>
      <w:bookmarkEnd w:id="428"/>
      <w:bookmarkEnd w:id="429"/>
    </w:p>
    <w:p w14:paraId="31C53ACA" w14:textId="77777777" w:rsidR="00156B9A" w:rsidRDefault="007A3D90">
      <w:pPr>
        <w:pStyle w:val="P68B1DB1-Heading218"/>
        <w:spacing w:before="120" w:after="120"/>
        <w:jc w:val="both"/>
      </w:pPr>
      <w:bookmarkStart w:id="430" w:name="_Toc183178870"/>
      <w:bookmarkStart w:id="431" w:name="_Toc183186344"/>
      <w:r>
        <w:t>Procédures contradictoires et suivi</w:t>
      </w:r>
      <w:bookmarkEnd w:id="430"/>
      <w:bookmarkEnd w:id="431"/>
    </w:p>
    <w:p w14:paraId="766D290D" w14:textId="6B0D68E2" w:rsidR="00156B9A" w:rsidRDefault="007A3D90">
      <w:pPr>
        <w:pStyle w:val="P68B1DB1-Normal5"/>
        <w:spacing w:after="120"/>
        <w:jc w:val="both"/>
      </w:pPr>
      <w:r>
        <w:t>Après réception du rapport d’audit final, la Commission entamera une procédure formelle contradictoire avec l’entité déclarante. Cette procédure</w:t>
      </w:r>
      <w:r w:rsidR="00D55256">
        <w:t xml:space="preserve"> </w:t>
      </w:r>
      <w:r>
        <w:rPr>
          <w:color w:val="000000"/>
        </w:rPr>
        <w:t>a pour but de permettre à la Commission d’échanger avec l’entité déclarante et de convenir avec elle de mesures correctives et d’actions nécessaires compte tenu des conclusions du rapport final. Le praticien peut, le cas échéant, être invité à fournir des éclaircissements ou des informations complémentaires en ce qui concerne le rapport d’audit final.</w:t>
      </w:r>
    </w:p>
    <w:p w14:paraId="54CCD779" w14:textId="77777777" w:rsidR="00156B9A" w:rsidRDefault="007A3D90">
      <w:pPr>
        <w:pStyle w:val="P68B1DB1-Heading218"/>
        <w:spacing w:after="120"/>
        <w:ind w:left="578" w:hanging="578"/>
        <w:jc w:val="both"/>
      </w:pPr>
      <w:bookmarkStart w:id="432" w:name="_Toc115353940"/>
      <w:bookmarkStart w:id="433" w:name="_Toc115362110"/>
      <w:bookmarkStart w:id="434" w:name="_Toc183178871"/>
      <w:bookmarkStart w:id="435" w:name="_Toc183186345"/>
      <w:bookmarkEnd w:id="432"/>
      <w:bookmarkEnd w:id="433"/>
      <w:r>
        <w:lastRenderedPageBreak/>
        <w:t>La sous-traitance</w:t>
      </w:r>
      <w:bookmarkEnd w:id="434"/>
      <w:bookmarkEnd w:id="435"/>
    </w:p>
    <w:p w14:paraId="5173319F" w14:textId="27F56175" w:rsidR="00156B9A" w:rsidRDefault="007A3D90">
      <w:pPr>
        <w:pStyle w:val="P68B1DB1-Normal19"/>
        <w:spacing w:after="120"/>
        <w:jc w:val="both"/>
      </w:pPr>
      <w:r>
        <w:t xml:space="preserve">Le praticien ne </w:t>
      </w:r>
      <w:r w:rsidR="00D55256">
        <w:t xml:space="preserve">fera pas appel à des sous-traitants </w:t>
      </w:r>
      <w:r>
        <w:t>sans l’autorisation écrite préalable du pouvoir adjudicateur.</w:t>
      </w:r>
    </w:p>
    <w:p w14:paraId="4B43737B" w14:textId="77777777" w:rsidR="00156B9A" w:rsidRDefault="00156B9A">
      <w:pPr>
        <w:spacing w:after="120"/>
        <w:jc w:val="both"/>
      </w:pPr>
      <w:bookmarkStart w:id="436" w:name="_Toc521595782"/>
      <w:bookmarkEnd w:id="436"/>
    </w:p>
    <w:p w14:paraId="75B223E6" w14:textId="7D38DF60" w:rsidR="00156B9A" w:rsidRDefault="007A3D90">
      <w:pPr>
        <w:pStyle w:val="P68B1DB1-Heading111"/>
        <w:spacing w:before="360" w:after="120"/>
        <w:ind w:left="431" w:hanging="431"/>
      </w:pPr>
      <w:bookmarkStart w:id="437" w:name="_Toc296610348"/>
      <w:r>
        <w:t xml:space="preserve"> </w:t>
      </w:r>
      <w:bookmarkStart w:id="438" w:name="_Toc183178872"/>
      <w:bookmarkStart w:id="439" w:name="_Toc183186346"/>
      <w:r>
        <w:t>Annexes</w:t>
      </w:r>
      <w:bookmarkEnd w:id="437"/>
      <w:bookmarkEnd w:id="438"/>
      <w:bookmarkEnd w:id="439"/>
    </w:p>
    <w:p w14:paraId="4E18362D" w14:textId="77777777" w:rsidR="00156B9A" w:rsidRDefault="007A3D90">
      <w:pPr>
        <w:pStyle w:val="P68B1DB1-Heading220"/>
        <w:numPr>
          <w:ilvl w:val="0"/>
          <w:numId w:val="0"/>
        </w:numPr>
        <w:spacing w:before="0" w:after="120"/>
        <w:jc w:val="both"/>
      </w:pPr>
      <w:bookmarkStart w:id="440" w:name="_Toc143679227"/>
      <w:bookmarkStart w:id="441" w:name="_Toc183178873"/>
      <w:bookmarkStart w:id="442" w:name="_Toc183186347"/>
      <w:r>
        <w:t xml:space="preserve">Annexe 1 </w:t>
      </w:r>
      <w:bookmarkEnd w:id="440"/>
      <w:r>
        <w:t>Contexte de l’engagement — Informations clés pour un audit des systèmes</w:t>
      </w:r>
      <w:bookmarkEnd w:id="441"/>
      <w:bookmarkEnd w:id="442"/>
    </w:p>
    <w:p w14:paraId="11E32D80" w14:textId="77777777" w:rsidR="00156B9A" w:rsidRDefault="007A3D90">
      <w:pPr>
        <w:pStyle w:val="P68B1DB1-Heading220"/>
        <w:numPr>
          <w:ilvl w:val="0"/>
          <w:numId w:val="0"/>
        </w:numPr>
        <w:spacing w:before="0" w:after="120"/>
        <w:jc w:val="both"/>
      </w:pPr>
      <w:bookmarkStart w:id="443" w:name="_Toc183178874"/>
      <w:bookmarkStart w:id="444" w:name="_Toc183186348"/>
      <w:r>
        <w:t xml:space="preserve">Annexe 2 </w:t>
      </w:r>
      <w:r>
        <w:tab/>
        <w:t>Procédures d’audit des systèmes</w:t>
      </w:r>
      <w:bookmarkEnd w:id="443"/>
      <w:bookmarkEnd w:id="444"/>
      <w:r>
        <w:t xml:space="preserve"> </w:t>
      </w:r>
    </w:p>
    <w:p w14:paraId="5355301C" w14:textId="77777777" w:rsidR="00156B9A" w:rsidRDefault="007A3D90">
      <w:pPr>
        <w:pStyle w:val="P68B1DB1-Heading220"/>
        <w:numPr>
          <w:ilvl w:val="0"/>
          <w:numId w:val="0"/>
        </w:numPr>
        <w:spacing w:before="0" w:after="120"/>
        <w:jc w:val="both"/>
      </w:pPr>
      <w:bookmarkStart w:id="445" w:name="_Toc183178875"/>
      <w:bookmarkStart w:id="446" w:name="_Toc183186349"/>
      <w:r>
        <w:t xml:space="preserve">Annexe 3 </w:t>
      </w:r>
      <w:r>
        <w:tab/>
        <w:t>Rapport d’audit des systèmes</w:t>
      </w:r>
      <w:bookmarkEnd w:id="445"/>
      <w:bookmarkEnd w:id="446"/>
      <w:r>
        <w:t xml:space="preserve"> </w:t>
      </w:r>
    </w:p>
    <w:p w14:paraId="799F2303" w14:textId="05C0D6AA" w:rsidR="00156B9A" w:rsidRDefault="007A3D90">
      <w:pPr>
        <w:rPr>
          <w:sz w:val="22"/>
        </w:rPr>
      </w:pPr>
      <w:r>
        <w:rPr>
          <w:rStyle w:val="normaltextrun"/>
          <w:sz w:val="22"/>
          <w:shd w:val="clear" w:color="auto" w:fill="FFFFFF"/>
        </w:rPr>
        <w:t xml:space="preserve">Annexe 4 </w:t>
      </w:r>
      <w:r>
        <w:rPr>
          <w:rStyle w:val="normaltextrun"/>
          <w:sz w:val="22"/>
          <w:shd w:val="clear" w:color="auto" w:fill="FFFFFF"/>
        </w:rPr>
        <w:tab/>
        <w:t xml:space="preserve">Modèle pour fournir des explications en cas de retard </w:t>
      </w:r>
      <w:r w:rsidR="00496A28">
        <w:rPr>
          <w:rStyle w:val="normaltextrun"/>
          <w:sz w:val="22"/>
          <w:shd w:val="clear" w:color="auto" w:fill="FFFFFF"/>
        </w:rPr>
        <w:t>des rapports</w:t>
      </w:r>
    </w:p>
    <w:p w14:paraId="06238D40" w14:textId="77777777" w:rsidR="00156B9A" w:rsidRDefault="00156B9A">
      <w:pPr>
        <w:spacing w:before="60" w:after="60"/>
        <w:jc w:val="both"/>
        <w:rPr>
          <w:rStyle w:val="Hyperlink"/>
          <w:rFonts w:ascii="Arial" w:hAnsi="Arial" w:cs="Arial"/>
          <w:b/>
          <w:sz w:val="20"/>
        </w:rPr>
      </w:pPr>
    </w:p>
    <w:sectPr w:rsidR="00156B9A">
      <w:headerReference w:type="even" r:id="rId14"/>
      <w:headerReference w:type="default" r:id="rId15"/>
      <w:footerReference w:type="even" r:id="rId16"/>
      <w:footerReference w:type="default" r:id="rId17"/>
      <w:headerReference w:type="first" r:id="rId18"/>
      <w:footerReference w:type="first" r:id="rId19"/>
      <w:pgSz w:w="11906" w:h="16838" w:code="9"/>
      <w:pgMar w:top="1440" w:right="1797" w:bottom="1440" w:left="1797"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5B7E8" w14:textId="77777777" w:rsidR="00156B9A" w:rsidRDefault="007A3D90">
      <w:r>
        <w:separator/>
      </w:r>
    </w:p>
  </w:endnote>
  <w:endnote w:type="continuationSeparator" w:id="0">
    <w:p w14:paraId="2D19DCCE" w14:textId="77777777" w:rsidR="00156B9A" w:rsidRDefault="007A3D90">
      <w:r>
        <w:continuationSeparator/>
      </w:r>
    </w:p>
  </w:endnote>
  <w:endnote w:type="continuationNotice" w:id="1">
    <w:p w14:paraId="18BC98EF" w14:textId="77777777" w:rsidR="00156B9A" w:rsidRDefault="00156B9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098204" w14:textId="77777777" w:rsidR="00156B9A" w:rsidRDefault="00156B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16918" w14:textId="77777777" w:rsidR="00156B9A" w:rsidRDefault="00156B9A">
    <w:pPr>
      <w:pStyle w:val="Footer"/>
      <w:framePr w:wrap="around" w:vAnchor="text" w:hAnchor="margin" w:xAlign="center" w:y="1"/>
      <w:rPr>
        <w:rStyle w:val="PageNumber"/>
        <w:sz w:val="22"/>
      </w:rPr>
    </w:pPr>
  </w:p>
  <w:p w14:paraId="1A99A439" w14:textId="70F093B2" w:rsidR="00156B9A" w:rsidRDefault="002444E5">
    <w:pPr>
      <w:pStyle w:val="P68B1DB1-Footer21"/>
      <w:rPr>
        <w:b/>
      </w:rPr>
    </w:pPr>
    <w:r>
      <w:t>Janvier</w:t>
    </w:r>
    <w:r w:rsidR="007A3D90">
      <w:t xml:space="preserve"> 202</w:t>
    </w:r>
    <w:r>
      <w:t>5</w:t>
    </w:r>
    <w:r w:rsidR="007A3D90">
      <w:tab/>
    </w:r>
    <w:r w:rsidR="007A3D90">
      <w:tab/>
      <w:t xml:space="preserve">page </w:t>
    </w:r>
    <w:r w:rsidR="007A3D90">
      <w:fldChar w:fldCharType="begin"/>
    </w:r>
    <w:r w:rsidR="007A3D90">
      <w:instrText xml:space="preserve"> PAGE  \* Arabic  \* MERGEFORMAT </w:instrText>
    </w:r>
    <w:r w:rsidR="007A3D90">
      <w:fldChar w:fldCharType="separate"/>
    </w:r>
    <w:r w:rsidR="007A3D90">
      <w:t>9</w:t>
    </w:r>
    <w:r w:rsidR="007A3D90">
      <w:fldChar w:fldCharType="end"/>
    </w:r>
    <w:r w:rsidR="007A3D90">
      <w:t xml:space="preserve"> de </w:t>
    </w:r>
    <w:fldSimple w:instr=" NUMPAGES  \* Arabic  \* MERGEFORMAT ">
      <w:r w:rsidR="007A3D90">
        <w:t>9</w:t>
      </w:r>
    </w:fldSimple>
    <w:r w:rsidR="007A3D90">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7131" w14:textId="64166804" w:rsidR="00156B9A" w:rsidRDefault="007A3D90">
    <w:pPr>
      <w:pStyle w:val="P68B1DB1-Footer21"/>
    </w:pPr>
    <w:bookmarkStart w:id="447" w:name="_Hlk119918603"/>
    <w:r>
      <w:t>Janvier 202</w:t>
    </w:r>
    <w:r w:rsidR="002444E5">
      <w:t>5</w:t>
    </w:r>
    <w:r>
      <w:t xml:space="preserve"> </w:t>
    </w:r>
    <w:bookmarkEnd w:id="447"/>
    <w:r>
      <w:tab/>
    </w:r>
    <w:r>
      <w:tab/>
      <w:t xml:space="preserve">page </w:t>
    </w:r>
    <w:r>
      <w:fldChar w:fldCharType="begin"/>
    </w:r>
    <w:r>
      <w:instrText xml:space="preserve"> PAGE  \* Arabic  \* MERGEFORMAT </w:instrText>
    </w:r>
    <w:r>
      <w:fldChar w:fldCharType="separate"/>
    </w:r>
    <w:r>
      <w:t>1</w:t>
    </w:r>
    <w:r>
      <w:fldChar w:fldCharType="end"/>
    </w:r>
    <w:r>
      <w:t xml:space="preserve"> de </w:t>
    </w:r>
    <w:fldSimple w:instr=" NUMPAGES  \* Arabic  \* MERGEFORMAT ">
      <w:r>
        <w:t>9</w:t>
      </w:r>
    </w:fldSimple>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BD37C3" w14:textId="77777777" w:rsidR="00156B9A" w:rsidRDefault="007A3D90">
      <w:r>
        <w:separator/>
      </w:r>
    </w:p>
  </w:footnote>
  <w:footnote w:type="continuationSeparator" w:id="0">
    <w:p w14:paraId="6D82FB2A" w14:textId="77777777" w:rsidR="00156B9A" w:rsidRDefault="007A3D90">
      <w:r>
        <w:continuationSeparator/>
      </w:r>
    </w:p>
  </w:footnote>
  <w:footnote w:type="continuationNotice" w:id="1">
    <w:p w14:paraId="40DF0468" w14:textId="77777777" w:rsidR="00156B9A" w:rsidRDefault="00156B9A"/>
  </w:footnote>
  <w:footnote w:id="2">
    <w:p w14:paraId="7DC0DF20" w14:textId="08EBB17F" w:rsidR="003E6E90" w:rsidRPr="003E6E90" w:rsidRDefault="003E6E90">
      <w:pPr>
        <w:pStyle w:val="FootnoteText"/>
        <w:rPr>
          <w:lang w:val="fr-BE"/>
        </w:rPr>
      </w:pPr>
      <w:r>
        <w:rPr>
          <w:rStyle w:val="FootnoteReference"/>
        </w:rPr>
        <w:footnoteRef/>
      </w:r>
      <w:r>
        <w:t xml:space="preserve"> </w:t>
      </w:r>
      <w:proofErr w:type="gramStart"/>
      <w:r w:rsidRPr="003E6E90">
        <w:rPr>
          <w:sz w:val="18"/>
          <w:szCs w:val="18"/>
        </w:rPr>
        <w:t>contrat</w:t>
      </w:r>
      <w:proofErr w:type="gramEnd"/>
      <w:r w:rsidRPr="003E6E90">
        <w:rPr>
          <w:sz w:val="18"/>
          <w:szCs w:val="18"/>
        </w:rPr>
        <w:t xml:space="preserve"> à l’égard duquel le rapport est émis</w:t>
      </w:r>
    </w:p>
  </w:footnote>
  <w:footnote w:id="3">
    <w:p w14:paraId="2950AD72" w14:textId="77777777" w:rsidR="00C4668B" w:rsidRDefault="00C4668B" w:rsidP="00EA2B56">
      <w:pPr>
        <w:pStyle w:val="FootnoteText"/>
        <w:jc w:val="both"/>
        <w:rPr>
          <w:sz w:val="16"/>
        </w:rPr>
      </w:pPr>
      <w:r>
        <w:rPr>
          <w:rStyle w:val="FootnoteReference"/>
          <w:sz w:val="16"/>
        </w:rPr>
        <w:footnoteRef/>
      </w:r>
      <w:r>
        <w:rPr>
          <w:sz w:val="16"/>
        </w:rPr>
        <w:t xml:space="preserve"> Il convient de noter que, tant que le contrat spécifique est financé au titre d’un financement pour les actions extérieures (c’est-à-dire tous les cas mentionnés ci-dessous), il est possible de se fonder sur l’article 179, paragraphe 2, du règlement financier 2018 ou l’article 182, paragraphe 2, du règlement financier 2024. Conformément à cet article, l’ordonnateur compétent peut décider, dans des circonstances exceptionnelles dûment justifiées, d’autoriser des entités de pays tiers qui, dans le cas contraire, seraient inéligibles.</w:t>
      </w:r>
    </w:p>
  </w:footnote>
  <w:footnote w:id="4">
    <w:p w14:paraId="171AA6EA" w14:textId="77777777" w:rsidR="00C4668B" w:rsidRDefault="00C4668B" w:rsidP="00EA2B56">
      <w:pPr>
        <w:pStyle w:val="FootnoteText"/>
        <w:jc w:val="both"/>
        <w:rPr>
          <w:sz w:val="18"/>
        </w:rPr>
      </w:pPr>
      <w:r>
        <w:rPr>
          <w:rStyle w:val="FootnoteReference"/>
          <w:sz w:val="16"/>
        </w:rPr>
        <w:footnoteRef/>
      </w:r>
      <w:r>
        <w:rPr>
          <w:sz w:val="16"/>
        </w:rPr>
        <w:t xml:space="preserve"> Les </w:t>
      </w:r>
      <w:r>
        <w:rPr>
          <w:b/>
          <w:sz w:val="16"/>
        </w:rPr>
        <w:t>pays PMA</w:t>
      </w:r>
      <w:r>
        <w:rPr>
          <w:sz w:val="16"/>
        </w:rPr>
        <w:t xml:space="preserve"> sont l’Afghanistan, l’Angola, le Bangladesh, le Bénin, le Bhoutan, le Burkina Faso, le Burundi, le Cambodge, la République centrafricaine, le Tchad, les </w:t>
      </w:r>
      <w:r>
        <w:rPr>
          <w:sz w:val="18"/>
        </w:rPr>
        <w:t>Comores, la République démocratique du Congo, Djibouti, l’Érythrée, l’Éthiopie, la Gambie, la Guinée, la Guinée-Bissau, Haïti, Kiribati, la République démocratique populaire lao, le Lesotho, le Liberia, Madagascar, Malawi, Mali, Mauritanie, Mozambique, Myanmar, Népal, Niger, Rwanda, Sao Tomé-et-Principe, Sénégal, Sierra Leone, les Îles Salomon, Somalie, Soudan, Soudan du Sud, Tanzanie, Timor-Oriental, Togo, Tuvalu, Ouganda, Yémen, Zambie. (</w:t>
      </w:r>
      <w:r>
        <w:rPr>
          <w:i/>
          <w:sz w:val="18"/>
          <w:highlight w:val="yellow"/>
        </w:rPr>
        <w:t xml:space="preserve">Pour une liste actualisée des </w:t>
      </w:r>
      <w:r>
        <w:rPr>
          <w:sz w:val="18"/>
          <w:highlight w:val="yellow"/>
        </w:rPr>
        <w:t>PMA, veuillez consulter</w:t>
      </w:r>
      <w:r>
        <w:rPr>
          <w:sz w:val="18"/>
        </w:rPr>
        <w:t xml:space="preserve"> la liste </w:t>
      </w:r>
      <w:hyperlink r:id="rId1" w:history="1">
        <w:r>
          <w:rPr>
            <w:rStyle w:val="Hyperlink"/>
            <w:sz w:val="18"/>
          </w:rPr>
          <w:t>de l’APD du CAD — OCDE</w:t>
        </w:r>
      </w:hyperlink>
      <w:r>
        <w:rPr>
          <w:sz w:val="18"/>
        </w:rPr>
        <w:t>)</w:t>
      </w:r>
    </w:p>
  </w:footnote>
  <w:footnote w:id="5">
    <w:p w14:paraId="748210D5" w14:textId="77777777" w:rsidR="00C4668B" w:rsidRDefault="00C4668B" w:rsidP="00EA2B56">
      <w:pPr>
        <w:pStyle w:val="FootnoteText"/>
        <w:jc w:val="both"/>
        <w:rPr>
          <w:sz w:val="18"/>
        </w:rPr>
      </w:pPr>
      <w:r>
        <w:rPr>
          <w:rStyle w:val="FootnoteReference"/>
          <w:sz w:val="18"/>
        </w:rPr>
        <w:footnoteRef/>
      </w:r>
      <w:r>
        <w:rPr>
          <w:sz w:val="18"/>
        </w:rPr>
        <w:t xml:space="preserve"> </w:t>
      </w:r>
      <w:r>
        <w:rPr>
          <w:b/>
          <w:sz w:val="18"/>
        </w:rPr>
        <w:t xml:space="preserve">Les PPTE </w:t>
      </w:r>
      <w:proofErr w:type="gramStart"/>
      <w:r>
        <w:rPr>
          <w:sz w:val="18"/>
        </w:rPr>
        <w:t>sont:</w:t>
      </w:r>
      <w:proofErr w:type="gramEnd"/>
      <w:r>
        <w:rPr>
          <w:sz w:val="18"/>
        </w:rPr>
        <w:t xml:space="preserve"> Afghanistan, Bénin, Bolivie, Burkina Faso, Burundi, Cameroun, République centrafricaine, Tchad, Comores, Côte d’Ivoire, République démocratique du Congo, Érythrée, Éthiopie, Ghana, Guinée, Guinée-Bissau, Guyana, Haïti, Honduras, Liberia, Madagascar, Malawi, Mali, Mauritanie, Mozambique, Nicaragua, Niger, République du Congo, Rwanda, Sao Tomé-et-Principe, Sénégal, Somalie, Sierra Leone, Soudan, Tanzanie, Gambie, Togo, Ouganda, Zambie</w:t>
      </w:r>
      <w:r>
        <w:rPr>
          <w:i/>
          <w:sz w:val="18"/>
        </w:rPr>
        <w:t>. (</w:t>
      </w:r>
      <w:r>
        <w:rPr>
          <w:i/>
          <w:sz w:val="18"/>
          <w:highlight w:val="yellow"/>
        </w:rPr>
        <w:t xml:space="preserve">Pour une liste actualisée des </w:t>
      </w:r>
      <w:r>
        <w:rPr>
          <w:sz w:val="18"/>
          <w:highlight w:val="yellow"/>
        </w:rPr>
        <w:t>HIPC, veuillez consulter</w:t>
      </w:r>
      <w:r>
        <w:rPr>
          <w:sz w:val="18"/>
        </w:rPr>
        <w:t xml:space="preserve"> la liste </w:t>
      </w:r>
      <w:hyperlink r:id="rId2" w:history="1">
        <w:r>
          <w:rPr>
            <w:rStyle w:val="Hyperlink"/>
            <w:sz w:val="18"/>
          </w:rPr>
          <w:t>de l’APD du CAD — OCDE</w:t>
        </w:r>
      </w:hyperlink>
      <w:r>
        <w:rPr>
          <w:sz w:val="18"/>
        </w:rPr>
        <w:t>)</w:t>
      </w:r>
    </w:p>
  </w:footnote>
  <w:footnote w:id="6">
    <w:p w14:paraId="0C985313" w14:textId="77777777" w:rsidR="00156B9A" w:rsidRDefault="007A3D90">
      <w:pPr>
        <w:ind w:left="284" w:hanging="284"/>
        <w:jc w:val="both"/>
        <w:rPr>
          <w:sz w:val="20"/>
        </w:rPr>
      </w:pPr>
      <w:r>
        <w:rPr>
          <w:rStyle w:val="FootnoteReference"/>
          <w:sz w:val="20"/>
        </w:rPr>
        <w:footnoteRef/>
      </w:r>
      <w:r>
        <w:rPr>
          <w:sz w:val="20"/>
        </w:rPr>
        <w:tab/>
      </w:r>
      <w:r>
        <w:rPr>
          <w:i/>
          <w:sz w:val="18"/>
        </w:rPr>
        <w:t>Directive 2006/43 du Parlement européen et du Conseil du 17 mai 2006 concernant les contrôles légaux des comptes annuels et des comptes consolidés et modifiant les directives 78/660/CEE et 83/349/CEE du Conseil, et abrogeant la directive 84/253 du Conseil.</w:t>
      </w:r>
    </w:p>
    <w:p w14:paraId="4AB7B613" w14:textId="77777777" w:rsidR="00156B9A" w:rsidRDefault="00156B9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2057A" w14:textId="77777777" w:rsidR="00156B9A" w:rsidRDefault="00156B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F5075" w14:textId="77777777" w:rsidR="00156B9A" w:rsidRDefault="00156B9A">
    <w:pPr>
      <w:pStyle w:val="Header"/>
      <w:jc w:val="right"/>
      <w:rPr>
        <w:rFonts w:ascii="Arial" w:hAnsi="Arial" w:cs="Arial"/>
        <w:i/>
        <w:sz w:val="16"/>
      </w:rPr>
    </w:pPr>
  </w:p>
  <w:p w14:paraId="090E4C35" w14:textId="10839844" w:rsidR="00156B9A" w:rsidRDefault="007A3D90">
    <w:pPr>
      <w:pStyle w:val="P68B1DB1-Header22"/>
      <w:jc w:val="right"/>
    </w:pPr>
    <w:r>
      <w:t>Cahier des charges pour un audit des systèmes</w:t>
    </w:r>
  </w:p>
  <w:p w14:paraId="048E4D79" w14:textId="77777777" w:rsidR="00156B9A" w:rsidRDefault="007A3D90">
    <w:pPr>
      <w:pStyle w:val="P68B1DB1-Header22"/>
      <w:jc w:val="right"/>
    </w:pPr>
    <w:r>
      <w:t>Conception et efficacité opérationnelle du système de contrôle interne</w:t>
    </w:r>
  </w:p>
  <w:p w14:paraId="623EC19E" w14:textId="77777777" w:rsidR="00156B9A" w:rsidRDefault="00156B9A">
    <w:pPr>
      <w:pStyle w:val="Header"/>
      <w:jc w:val="right"/>
      <w:rPr>
        <w:rFonts w:ascii="Arial" w:hAnsi="Arial" w:cs="Arial"/>
        <w:i/>
        <w:sz w:val="16"/>
      </w:rPr>
    </w:pPr>
  </w:p>
  <w:p w14:paraId="1C96C01D" w14:textId="77777777" w:rsidR="00156B9A" w:rsidRDefault="00156B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E06AC" w14:textId="77777777" w:rsidR="00156B9A" w:rsidRDefault="00156B9A">
    <w:pPr>
      <w:pStyle w:val="Header"/>
      <w:jc w:val="right"/>
      <w:rPr>
        <w:rFonts w:ascii="Arial" w:hAnsi="Arial" w:cs="Arial"/>
        <w:i/>
        <w:sz w:val="16"/>
      </w:rPr>
    </w:pPr>
  </w:p>
  <w:p w14:paraId="25D2DBAA" w14:textId="5D73B1A4" w:rsidR="00156B9A" w:rsidRDefault="007A3D90">
    <w:pPr>
      <w:pStyle w:val="P68B1DB1-Header22"/>
      <w:jc w:val="right"/>
    </w:pPr>
    <w:r>
      <w:t>Cahier des charges pour un audit des systèmes</w:t>
    </w:r>
  </w:p>
  <w:p w14:paraId="2541C0CE" w14:textId="77777777" w:rsidR="00156B9A" w:rsidRDefault="007A3D90">
    <w:pPr>
      <w:pStyle w:val="P68B1DB1-Header22"/>
      <w:jc w:val="right"/>
    </w:pPr>
    <w:r>
      <w:t>Conception et efficacité opérationnelle du système de contrôle interne</w:t>
    </w:r>
  </w:p>
  <w:p w14:paraId="668E7394" w14:textId="77777777" w:rsidR="00156B9A" w:rsidRDefault="00156B9A">
    <w:pPr>
      <w:pStyle w:val="Header"/>
      <w:jc w:val="right"/>
    </w:pPr>
  </w:p>
  <w:p w14:paraId="01F4DF51" w14:textId="77777777" w:rsidR="00156B9A" w:rsidRDefault="00156B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843A8"/>
    <w:multiLevelType w:val="hybridMultilevel"/>
    <w:tmpl w:val="82A096E8"/>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2A4A5A"/>
    <w:multiLevelType w:val="hybridMultilevel"/>
    <w:tmpl w:val="2F228B30"/>
    <w:lvl w:ilvl="0" w:tplc="0809000D">
      <w:start w:val="1"/>
      <w:numFmt w:val="bullet"/>
      <w:lvlText w:val=""/>
      <w:lvlJc w:val="left"/>
      <w:pPr>
        <w:tabs>
          <w:tab w:val="num" w:pos="720"/>
        </w:tabs>
        <w:ind w:left="720" w:hanging="360"/>
      </w:pPr>
      <w:rPr>
        <w:rFonts w:ascii="Wingdings" w:hAnsi="Wingdings" w:hint="default"/>
      </w:rPr>
    </w:lvl>
    <w:lvl w:ilvl="1" w:tplc="08090001">
      <w:start w:val="1"/>
      <w:numFmt w:val="bullet"/>
      <w:lvlText w:val=""/>
      <w:lvlJc w:val="left"/>
      <w:pPr>
        <w:tabs>
          <w:tab w:val="num" w:pos="1440"/>
        </w:tabs>
        <w:ind w:left="1440" w:hanging="360"/>
      </w:pPr>
      <w:rPr>
        <w:rFonts w:ascii="Symbol" w:hAnsi="Symbo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CBB155C"/>
    <w:multiLevelType w:val="hybridMultilevel"/>
    <w:tmpl w:val="1EACF2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FE3728"/>
    <w:multiLevelType w:val="hybridMultilevel"/>
    <w:tmpl w:val="8F7887B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0F36B85"/>
    <w:multiLevelType w:val="hybridMultilevel"/>
    <w:tmpl w:val="3D94D2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743E49"/>
    <w:multiLevelType w:val="hybridMultilevel"/>
    <w:tmpl w:val="297AB78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2B486E"/>
    <w:multiLevelType w:val="hybridMultilevel"/>
    <w:tmpl w:val="F45CFC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95DE7"/>
    <w:multiLevelType w:val="hybridMultilevel"/>
    <w:tmpl w:val="F64EDA34"/>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FB3CB1"/>
    <w:multiLevelType w:val="hybridMultilevel"/>
    <w:tmpl w:val="09F2CF7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F734306"/>
    <w:multiLevelType w:val="multilevel"/>
    <w:tmpl w:val="884E79D8"/>
    <w:lvl w:ilvl="0">
      <w:start w:val="1"/>
      <w:numFmt w:val="decimal"/>
      <w:pStyle w:val="Heading1"/>
      <w:lvlText w:val="%1"/>
      <w:lvlJc w:val="left"/>
      <w:pPr>
        <w:tabs>
          <w:tab w:val="num" w:pos="432"/>
        </w:tabs>
        <w:ind w:left="432" w:hanging="432"/>
      </w:pPr>
      <w:rPr>
        <w:sz w:val="28"/>
        <w:szCs w:val="28"/>
      </w:rPr>
    </w:lvl>
    <w:lvl w:ilvl="1">
      <w:start w:val="1"/>
      <w:numFmt w:val="decimal"/>
      <w:pStyle w:val="Heading2"/>
      <w:lvlText w:val="%1.%2"/>
      <w:lvlJc w:val="left"/>
      <w:pPr>
        <w:tabs>
          <w:tab w:val="num" w:pos="576"/>
        </w:tabs>
        <w:ind w:left="576" w:hanging="576"/>
      </w:pPr>
      <w:rPr>
        <w:sz w:val="24"/>
        <w:szCs w:val="20"/>
      </w:rPr>
    </w:lvl>
    <w:lvl w:ilvl="2">
      <w:start w:val="1"/>
      <w:numFmt w:val="decimal"/>
      <w:pStyle w:val="Heading3"/>
      <w:lvlText w:val="%1.%2.%3"/>
      <w:lvlJc w:val="left"/>
      <w:pPr>
        <w:tabs>
          <w:tab w:val="num" w:pos="720"/>
        </w:tabs>
        <w:ind w:left="720" w:hanging="720"/>
      </w:pPr>
      <w:rPr>
        <w:b/>
        <w:bCs/>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 w15:restartNumberingAfterBreak="0">
    <w:nsid w:val="218768D6"/>
    <w:multiLevelType w:val="hybridMultilevel"/>
    <w:tmpl w:val="643E14F6"/>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1" w15:restartNumberingAfterBreak="0">
    <w:nsid w:val="23965DEC"/>
    <w:multiLevelType w:val="hybridMultilevel"/>
    <w:tmpl w:val="08CE2542"/>
    <w:lvl w:ilvl="0" w:tplc="08090001">
      <w:start w:val="1"/>
      <w:numFmt w:val="bullet"/>
      <w:lvlText w:val=""/>
      <w:lvlJc w:val="left"/>
      <w:pPr>
        <w:tabs>
          <w:tab w:val="num" w:pos="720"/>
        </w:tabs>
        <w:ind w:left="720" w:hanging="360"/>
      </w:pPr>
      <w:rPr>
        <w:rFonts w:ascii="Symbol" w:hAnsi="Symbol" w:hint="default"/>
      </w:rPr>
    </w:lvl>
    <w:lvl w:ilvl="1" w:tplc="BE8C8AD2">
      <w:numFmt w:val="bullet"/>
      <w:lvlText w:val="-"/>
      <w:lvlJc w:val="left"/>
      <w:pPr>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5C68A4"/>
    <w:multiLevelType w:val="hybridMultilevel"/>
    <w:tmpl w:val="45D2D5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991958"/>
    <w:multiLevelType w:val="hybridMultilevel"/>
    <w:tmpl w:val="DDF6AD2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D400EB"/>
    <w:multiLevelType w:val="hybridMultilevel"/>
    <w:tmpl w:val="0B54094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B70308"/>
    <w:multiLevelType w:val="hybridMultilevel"/>
    <w:tmpl w:val="F49E0662"/>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4A35FD"/>
    <w:multiLevelType w:val="hybridMultilevel"/>
    <w:tmpl w:val="5BE26AFA"/>
    <w:lvl w:ilvl="0" w:tplc="0809000D">
      <w:start w:val="1"/>
      <w:numFmt w:val="bullet"/>
      <w:lvlText w:val=""/>
      <w:lvlJc w:val="left"/>
      <w:pPr>
        <w:tabs>
          <w:tab w:val="num" w:pos="720"/>
        </w:tabs>
        <w:ind w:left="720" w:hanging="360"/>
      </w:pPr>
      <w:rPr>
        <w:rFonts w:ascii="Wingdings" w:hAnsi="Wingdings" w:hint="default"/>
      </w:rPr>
    </w:lvl>
    <w:lvl w:ilvl="1" w:tplc="9678015C">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641AEB"/>
    <w:multiLevelType w:val="hybridMultilevel"/>
    <w:tmpl w:val="ACE687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9905A3"/>
    <w:multiLevelType w:val="hybridMultilevel"/>
    <w:tmpl w:val="DC4041D8"/>
    <w:lvl w:ilvl="0" w:tplc="E5884FB2">
      <w:numFmt w:val="bullet"/>
      <w:lvlText w:val="-"/>
      <w:lvlJc w:val="left"/>
      <w:pPr>
        <w:tabs>
          <w:tab w:val="num" w:pos="720"/>
        </w:tabs>
        <w:ind w:left="720" w:hanging="360"/>
      </w:pPr>
      <w:rPr>
        <w:rFonts w:ascii="Times New Roman" w:eastAsia="Times New Roma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CA42A96"/>
    <w:multiLevelType w:val="hybridMultilevel"/>
    <w:tmpl w:val="06CACDB2"/>
    <w:lvl w:ilvl="0" w:tplc="FFFFFFFF">
      <w:start w:val="1"/>
      <w:numFmt w:val="bullet"/>
      <w:lvlText w:val=""/>
      <w:lvlJc w:val="left"/>
      <w:pPr>
        <w:tabs>
          <w:tab w:val="num" w:pos="720"/>
        </w:tabs>
        <w:ind w:left="720" w:hanging="360"/>
      </w:pPr>
      <w:rPr>
        <w:rFonts w:ascii="Symbol" w:hAnsi="Symbol" w:hint="default"/>
      </w:rPr>
    </w:lvl>
    <w:lvl w:ilvl="1" w:tplc="C1267596">
      <w:start w:val="1"/>
      <w:numFmt w:val="bullet"/>
      <w:lvlText w:val="o"/>
      <w:lvlJc w:val="left"/>
      <w:pPr>
        <w:ind w:left="786" w:hanging="360"/>
      </w:pPr>
      <w:rPr>
        <w:rFonts w:ascii="Courier New" w:hAnsi="Courier New" w:cs="Courier New" w:hint="default"/>
        <w:sz w:val="22"/>
        <w:szCs w:val="22"/>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476D6465"/>
    <w:multiLevelType w:val="hybridMultilevel"/>
    <w:tmpl w:val="2FDEBC9A"/>
    <w:lvl w:ilvl="0" w:tplc="08090001">
      <w:start w:val="1"/>
      <w:numFmt w:val="bullet"/>
      <w:lvlText w:val=""/>
      <w:lvlJc w:val="left"/>
      <w:pPr>
        <w:tabs>
          <w:tab w:val="num" w:pos="720"/>
        </w:tabs>
        <w:ind w:left="720" w:hanging="360"/>
      </w:pPr>
      <w:rPr>
        <w:rFonts w:ascii="Symbol" w:hAnsi="Symbol" w:hint="default"/>
      </w:rPr>
    </w:lvl>
    <w:lvl w:ilvl="1" w:tplc="DC7E6C24">
      <w:numFmt w:val="bullet"/>
      <w:lvlText w:val="-"/>
      <w:lvlJc w:val="left"/>
      <w:pPr>
        <w:tabs>
          <w:tab w:val="num" w:pos="1440"/>
        </w:tabs>
        <w:ind w:left="1440" w:hanging="360"/>
      </w:pPr>
      <w:rPr>
        <w:rFonts w:ascii="Times New Roman" w:eastAsia="Times New Roman" w:hAnsi="Times New Roman" w:cs="Times New Roman"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7FF0E34"/>
    <w:multiLevelType w:val="hybridMultilevel"/>
    <w:tmpl w:val="18025F4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92359E5"/>
    <w:multiLevelType w:val="hybridMultilevel"/>
    <w:tmpl w:val="5618698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9BB2109"/>
    <w:multiLevelType w:val="hybridMultilevel"/>
    <w:tmpl w:val="2E082FEC"/>
    <w:lvl w:ilvl="0" w:tplc="0809000D">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A6B7912"/>
    <w:multiLevelType w:val="hybridMultilevel"/>
    <w:tmpl w:val="FB5A64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052670A"/>
    <w:multiLevelType w:val="hybridMultilevel"/>
    <w:tmpl w:val="815C459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DA22002"/>
    <w:multiLevelType w:val="hybridMultilevel"/>
    <w:tmpl w:val="4F76CD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F556F8"/>
    <w:multiLevelType w:val="hybridMultilevel"/>
    <w:tmpl w:val="3FB2E69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286444E"/>
    <w:multiLevelType w:val="multilevel"/>
    <w:tmpl w:val="18025F4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F5300A"/>
    <w:multiLevelType w:val="multilevel"/>
    <w:tmpl w:val="04090025"/>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2" w15:restartNumberingAfterBreak="0">
    <w:nsid w:val="753A784F"/>
    <w:multiLevelType w:val="hybridMultilevel"/>
    <w:tmpl w:val="6748D4AC"/>
    <w:lvl w:ilvl="0" w:tplc="81DA1A26">
      <w:start w:val="1"/>
      <w:numFmt w:val="bullet"/>
      <w:lvlText w:val="o"/>
      <w:lvlJc w:val="left"/>
      <w:pPr>
        <w:tabs>
          <w:tab w:val="num" w:pos="909"/>
        </w:tabs>
        <w:ind w:left="567" w:hanging="567"/>
      </w:pPr>
      <w:rPr>
        <w:rFonts w:ascii="Courier New" w:hAnsi="Courier New" w:hint="default"/>
      </w:rPr>
    </w:lvl>
    <w:lvl w:ilvl="1" w:tplc="08090003">
      <w:start w:val="1"/>
      <w:numFmt w:val="bullet"/>
      <w:lvlText w:val="o"/>
      <w:lvlJc w:val="left"/>
      <w:pPr>
        <w:tabs>
          <w:tab w:val="num" w:pos="363"/>
        </w:tabs>
        <w:ind w:left="363" w:hanging="360"/>
      </w:pPr>
      <w:rPr>
        <w:rFonts w:ascii="Courier New" w:hAnsi="Courier New" w:cs="Courier New" w:hint="default"/>
      </w:rPr>
    </w:lvl>
    <w:lvl w:ilvl="2" w:tplc="A6D23D5A">
      <w:start w:val="1"/>
      <w:numFmt w:val="bullet"/>
      <w:lvlText w:val="o"/>
      <w:lvlJc w:val="left"/>
      <w:pPr>
        <w:tabs>
          <w:tab w:val="num" w:pos="341"/>
        </w:tabs>
        <w:ind w:left="341" w:hanging="341"/>
      </w:pPr>
      <w:rPr>
        <w:rFonts w:ascii="Courier New" w:hAnsi="Courier New" w:hint="default"/>
      </w:rPr>
    </w:lvl>
    <w:lvl w:ilvl="3" w:tplc="08090001" w:tentative="1">
      <w:start w:val="1"/>
      <w:numFmt w:val="bullet"/>
      <w:lvlText w:val=""/>
      <w:lvlJc w:val="left"/>
      <w:pPr>
        <w:tabs>
          <w:tab w:val="num" w:pos="1803"/>
        </w:tabs>
        <w:ind w:left="1803" w:hanging="360"/>
      </w:pPr>
      <w:rPr>
        <w:rFonts w:ascii="Symbol" w:hAnsi="Symbol" w:hint="default"/>
      </w:rPr>
    </w:lvl>
    <w:lvl w:ilvl="4" w:tplc="08090003" w:tentative="1">
      <w:start w:val="1"/>
      <w:numFmt w:val="bullet"/>
      <w:lvlText w:val="o"/>
      <w:lvlJc w:val="left"/>
      <w:pPr>
        <w:tabs>
          <w:tab w:val="num" w:pos="2523"/>
        </w:tabs>
        <w:ind w:left="2523" w:hanging="360"/>
      </w:pPr>
      <w:rPr>
        <w:rFonts w:ascii="Courier New" w:hAnsi="Courier New" w:cs="Courier New" w:hint="default"/>
      </w:rPr>
    </w:lvl>
    <w:lvl w:ilvl="5" w:tplc="08090005" w:tentative="1">
      <w:start w:val="1"/>
      <w:numFmt w:val="bullet"/>
      <w:lvlText w:val=""/>
      <w:lvlJc w:val="left"/>
      <w:pPr>
        <w:tabs>
          <w:tab w:val="num" w:pos="3243"/>
        </w:tabs>
        <w:ind w:left="3243" w:hanging="360"/>
      </w:pPr>
      <w:rPr>
        <w:rFonts w:ascii="Wingdings" w:hAnsi="Wingdings" w:hint="default"/>
      </w:rPr>
    </w:lvl>
    <w:lvl w:ilvl="6" w:tplc="08090001" w:tentative="1">
      <w:start w:val="1"/>
      <w:numFmt w:val="bullet"/>
      <w:lvlText w:val=""/>
      <w:lvlJc w:val="left"/>
      <w:pPr>
        <w:tabs>
          <w:tab w:val="num" w:pos="3963"/>
        </w:tabs>
        <w:ind w:left="3963" w:hanging="360"/>
      </w:pPr>
      <w:rPr>
        <w:rFonts w:ascii="Symbol" w:hAnsi="Symbol" w:hint="default"/>
      </w:rPr>
    </w:lvl>
    <w:lvl w:ilvl="7" w:tplc="08090003" w:tentative="1">
      <w:start w:val="1"/>
      <w:numFmt w:val="bullet"/>
      <w:lvlText w:val="o"/>
      <w:lvlJc w:val="left"/>
      <w:pPr>
        <w:tabs>
          <w:tab w:val="num" w:pos="4683"/>
        </w:tabs>
        <w:ind w:left="4683" w:hanging="360"/>
      </w:pPr>
      <w:rPr>
        <w:rFonts w:ascii="Courier New" w:hAnsi="Courier New" w:cs="Courier New" w:hint="default"/>
      </w:rPr>
    </w:lvl>
    <w:lvl w:ilvl="8" w:tplc="08090005" w:tentative="1">
      <w:start w:val="1"/>
      <w:numFmt w:val="bullet"/>
      <w:lvlText w:val=""/>
      <w:lvlJc w:val="left"/>
      <w:pPr>
        <w:tabs>
          <w:tab w:val="num" w:pos="5403"/>
        </w:tabs>
        <w:ind w:left="5403" w:hanging="360"/>
      </w:pPr>
      <w:rPr>
        <w:rFonts w:ascii="Wingdings" w:hAnsi="Wingdings" w:hint="default"/>
      </w:rPr>
    </w:lvl>
  </w:abstractNum>
  <w:abstractNum w:abstractNumId="33" w15:restartNumberingAfterBreak="0">
    <w:nsid w:val="7A1F5508"/>
    <w:multiLevelType w:val="hybridMultilevel"/>
    <w:tmpl w:val="C4F45E1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BA41776"/>
    <w:multiLevelType w:val="hybridMultilevel"/>
    <w:tmpl w:val="7F28820E"/>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452099469">
    <w:abstractNumId w:val="9"/>
  </w:num>
  <w:num w:numId="2" w16cid:durableId="1693263731">
    <w:abstractNumId w:val="11"/>
  </w:num>
  <w:num w:numId="3" w16cid:durableId="298650562">
    <w:abstractNumId w:val="21"/>
  </w:num>
  <w:num w:numId="4" w16cid:durableId="1318218193">
    <w:abstractNumId w:val="25"/>
  </w:num>
  <w:num w:numId="5" w16cid:durableId="1344822814">
    <w:abstractNumId w:val="3"/>
  </w:num>
  <w:num w:numId="6" w16cid:durableId="39211960">
    <w:abstractNumId w:val="24"/>
  </w:num>
  <w:num w:numId="7" w16cid:durableId="1883469982">
    <w:abstractNumId w:val="13"/>
  </w:num>
  <w:num w:numId="8" w16cid:durableId="223374269">
    <w:abstractNumId w:val="15"/>
  </w:num>
  <w:num w:numId="9" w16cid:durableId="14115292">
    <w:abstractNumId w:val="0"/>
  </w:num>
  <w:num w:numId="10" w16cid:durableId="268516110">
    <w:abstractNumId w:val="12"/>
  </w:num>
  <w:num w:numId="11" w16cid:durableId="1164777495">
    <w:abstractNumId w:val="33"/>
  </w:num>
  <w:num w:numId="12" w16cid:durableId="1528832630">
    <w:abstractNumId w:val="18"/>
  </w:num>
  <w:num w:numId="13" w16cid:durableId="965507590">
    <w:abstractNumId w:val="1"/>
  </w:num>
  <w:num w:numId="14" w16cid:durableId="476149092">
    <w:abstractNumId w:val="16"/>
  </w:num>
  <w:num w:numId="15" w16cid:durableId="1023941578">
    <w:abstractNumId w:val="22"/>
  </w:num>
  <w:num w:numId="16" w16cid:durableId="1482579306">
    <w:abstractNumId w:val="30"/>
  </w:num>
  <w:num w:numId="17" w16cid:durableId="1945527168">
    <w:abstractNumId w:val="5"/>
  </w:num>
  <w:num w:numId="18" w16cid:durableId="1804303115">
    <w:abstractNumId w:val="23"/>
  </w:num>
  <w:num w:numId="19" w16cid:durableId="573055106">
    <w:abstractNumId w:val="4"/>
  </w:num>
  <w:num w:numId="20" w16cid:durableId="1569534539">
    <w:abstractNumId w:val="2"/>
  </w:num>
  <w:num w:numId="21" w16cid:durableId="717776586">
    <w:abstractNumId w:val="17"/>
  </w:num>
  <w:num w:numId="22" w16cid:durableId="351300957">
    <w:abstractNumId w:val="28"/>
  </w:num>
  <w:num w:numId="23" w16cid:durableId="1606112491">
    <w:abstractNumId w:val="14"/>
  </w:num>
  <w:num w:numId="24" w16cid:durableId="332144635">
    <w:abstractNumId w:val="26"/>
  </w:num>
  <w:num w:numId="25" w16cid:durableId="478351141">
    <w:abstractNumId w:val="29"/>
  </w:num>
  <w:num w:numId="26" w16cid:durableId="750353126">
    <w:abstractNumId w:val="34"/>
  </w:num>
  <w:num w:numId="27" w16cid:durableId="662974477">
    <w:abstractNumId w:val="7"/>
  </w:num>
  <w:num w:numId="28" w16cid:durableId="208684687">
    <w:abstractNumId w:val="8"/>
  </w:num>
  <w:num w:numId="29" w16cid:durableId="842938915">
    <w:abstractNumId w:val="31"/>
  </w:num>
  <w:num w:numId="30" w16cid:durableId="64648103">
    <w:abstractNumId w:val="32"/>
  </w:num>
  <w:num w:numId="31" w16cid:durableId="409080410">
    <w:abstractNumId w:val="20"/>
  </w:num>
  <w:num w:numId="32" w16cid:durableId="686324506">
    <w:abstractNumId w:val="9"/>
  </w:num>
  <w:num w:numId="33" w16cid:durableId="1825777959">
    <w:abstractNumId w:val="9"/>
  </w:num>
  <w:num w:numId="34" w16cid:durableId="1831823555">
    <w:abstractNumId w:val="9"/>
  </w:num>
  <w:num w:numId="35" w16cid:durableId="1319043355">
    <w:abstractNumId w:val="9"/>
  </w:num>
  <w:num w:numId="36" w16cid:durableId="643312186">
    <w:abstractNumId w:val="9"/>
  </w:num>
  <w:num w:numId="37" w16cid:durableId="881747225">
    <w:abstractNumId w:val="9"/>
  </w:num>
  <w:num w:numId="38" w16cid:durableId="1143623907">
    <w:abstractNumId w:val="9"/>
  </w:num>
  <w:num w:numId="39" w16cid:durableId="1561866191">
    <w:abstractNumId w:val="9"/>
  </w:num>
  <w:num w:numId="40" w16cid:durableId="1441028526">
    <w:abstractNumId w:val="10"/>
  </w:num>
  <w:num w:numId="41" w16cid:durableId="988293022">
    <w:abstractNumId w:val="19"/>
  </w:num>
  <w:num w:numId="42" w16cid:durableId="1866289266">
    <w:abstractNumId w:val="6"/>
  </w:num>
  <w:num w:numId="43" w16cid:durableId="1823236062">
    <w:abstractNumId w:val="27"/>
  </w:num>
  <w:num w:numId="44" w16cid:durableId="1554996516">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1"/>
  </w:hdrShapeDefaults>
  <w:footnotePr>
    <w:footnote w:id="-1"/>
    <w:footnote w:id="0"/>
    <w:footnote w:id="1"/>
  </w:footnotePr>
  <w:endnotePr>
    <w:endnote w:id="-1"/>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NORMAL"/>
  </w:docVars>
  <w:rsids>
    <w:rsidRoot w:val="008078EC"/>
    <w:rsid w:val="00001615"/>
    <w:rsid w:val="0000180B"/>
    <w:rsid w:val="00002C96"/>
    <w:rsid w:val="00002DB2"/>
    <w:rsid w:val="00003872"/>
    <w:rsid w:val="00004F9A"/>
    <w:rsid w:val="00005EAD"/>
    <w:rsid w:val="00012378"/>
    <w:rsid w:val="000125D0"/>
    <w:rsid w:val="00012837"/>
    <w:rsid w:val="000138FA"/>
    <w:rsid w:val="000141DE"/>
    <w:rsid w:val="00015CA7"/>
    <w:rsid w:val="00017985"/>
    <w:rsid w:val="00020BDE"/>
    <w:rsid w:val="0002183C"/>
    <w:rsid w:val="00022622"/>
    <w:rsid w:val="00026E14"/>
    <w:rsid w:val="00027773"/>
    <w:rsid w:val="000301E2"/>
    <w:rsid w:val="00030C5F"/>
    <w:rsid w:val="000323E7"/>
    <w:rsid w:val="00033574"/>
    <w:rsid w:val="00033FA6"/>
    <w:rsid w:val="0003416C"/>
    <w:rsid w:val="00035647"/>
    <w:rsid w:val="000359A4"/>
    <w:rsid w:val="00036430"/>
    <w:rsid w:val="00036599"/>
    <w:rsid w:val="00041B1A"/>
    <w:rsid w:val="00042622"/>
    <w:rsid w:val="00043927"/>
    <w:rsid w:val="00043AA1"/>
    <w:rsid w:val="00044490"/>
    <w:rsid w:val="00045DE3"/>
    <w:rsid w:val="00046AC5"/>
    <w:rsid w:val="00046C00"/>
    <w:rsid w:val="000508D9"/>
    <w:rsid w:val="000527BB"/>
    <w:rsid w:val="000527BE"/>
    <w:rsid w:val="0005317D"/>
    <w:rsid w:val="0005481B"/>
    <w:rsid w:val="00054D87"/>
    <w:rsid w:val="00056FE8"/>
    <w:rsid w:val="00057264"/>
    <w:rsid w:val="00060F9A"/>
    <w:rsid w:val="00061421"/>
    <w:rsid w:val="000621E7"/>
    <w:rsid w:val="00064104"/>
    <w:rsid w:val="00064AFB"/>
    <w:rsid w:val="000666C7"/>
    <w:rsid w:val="00067EDC"/>
    <w:rsid w:val="00067F89"/>
    <w:rsid w:val="00070D9B"/>
    <w:rsid w:val="000714C6"/>
    <w:rsid w:val="0007260E"/>
    <w:rsid w:val="00072FC7"/>
    <w:rsid w:val="00073B02"/>
    <w:rsid w:val="000758D4"/>
    <w:rsid w:val="00075F9A"/>
    <w:rsid w:val="00076155"/>
    <w:rsid w:val="000804F3"/>
    <w:rsid w:val="00084007"/>
    <w:rsid w:val="00084AEC"/>
    <w:rsid w:val="00085037"/>
    <w:rsid w:val="00085549"/>
    <w:rsid w:val="0008574B"/>
    <w:rsid w:val="000861DF"/>
    <w:rsid w:val="00087305"/>
    <w:rsid w:val="0009040A"/>
    <w:rsid w:val="000905BC"/>
    <w:rsid w:val="00090618"/>
    <w:rsid w:val="00090BCC"/>
    <w:rsid w:val="00091781"/>
    <w:rsid w:val="00092521"/>
    <w:rsid w:val="00092A1E"/>
    <w:rsid w:val="00092CA3"/>
    <w:rsid w:val="00093E16"/>
    <w:rsid w:val="00094B98"/>
    <w:rsid w:val="000950F6"/>
    <w:rsid w:val="00096B93"/>
    <w:rsid w:val="0009795E"/>
    <w:rsid w:val="00097989"/>
    <w:rsid w:val="000A105C"/>
    <w:rsid w:val="000A299C"/>
    <w:rsid w:val="000A3D01"/>
    <w:rsid w:val="000A536D"/>
    <w:rsid w:val="000A6604"/>
    <w:rsid w:val="000A68F8"/>
    <w:rsid w:val="000B1C35"/>
    <w:rsid w:val="000B33AD"/>
    <w:rsid w:val="000B4236"/>
    <w:rsid w:val="000B455B"/>
    <w:rsid w:val="000B4C57"/>
    <w:rsid w:val="000B4D0C"/>
    <w:rsid w:val="000B579A"/>
    <w:rsid w:val="000B5B79"/>
    <w:rsid w:val="000C0F1B"/>
    <w:rsid w:val="000C554D"/>
    <w:rsid w:val="000C65FA"/>
    <w:rsid w:val="000C6E21"/>
    <w:rsid w:val="000C742C"/>
    <w:rsid w:val="000D146F"/>
    <w:rsid w:val="000D25DD"/>
    <w:rsid w:val="000D26D6"/>
    <w:rsid w:val="000D3175"/>
    <w:rsid w:val="000D3BA1"/>
    <w:rsid w:val="000D5255"/>
    <w:rsid w:val="000D6710"/>
    <w:rsid w:val="000D7E6F"/>
    <w:rsid w:val="000E043F"/>
    <w:rsid w:val="000E07A7"/>
    <w:rsid w:val="000E0B95"/>
    <w:rsid w:val="000E0C86"/>
    <w:rsid w:val="000E1314"/>
    <w:rsid w:val="000E2215"/>
    <w:rsid w:val="000E26A8"/>
    <w:rsid w:val="000E4A07"/>
    <w:rsid w:val="000E4A84"/>
    <w:rsid w:val="000E65F2"/>
    <w:rsid w:val="000E6C47"/>
    <w:rsid w:val="000E75C9"/>
    <w:rsid w:val="000E7B88"/>
    <w:rsid w:val="000E7C56"/>
    <w:rsid w:val="000E7CCD"/>
    <w:rsid w:val="000E7FDF"/>
    <w:rsid w:val="000F045F"/>
    <w:rsid w:val="000F0AC1"/>
    <w:rsid w:val="000F33E0"/>
    <w:rsid w:val="000F3E33"/>
    <w:rsid w:val="000F4C44"/>
    <w:rsid w:val="000F5342"/>
    <w:rsid w:val="000F546D"/>
    <w:rsid w:val="000F59B0"/>
    <w:rsid w:val="000F681F"/>
    <w:rsid w:val="000F6A9E"/>
    <w:rsid w:val="00100A5B"/>
    <w:rsid w:val="00100C66"/>
    <w:rsid w:val="00100E5C"/>
    <w:rsid w:val="00101DD1"/>
    <w:rsid w:val="001046C4"/>
    <w:rsid w:val="0010640C"/>
    <w:rsid w:val="0010667A"/>
    <w:rsid w:val="001068FA"/>
    <w:rsid w:val="0011049B"/>
    <w:rsid w:val="00112E84"/>
    <w:rsid w:val="0011389A"/>
    <w:rsid w:val="001138A2"/>
    <w:rsid w:val="00115FC9"/>
    <w:rsid w:val="00116411"/>
    <w:rsid w:val="001171FB"/>
    <w:rsid w:val="001173B9"/>
    <w:rsid w:val="00117468"/>
    <w:rsid w:val="00117C8B"/>
    <w:rsid w:val="00121B4F"/>
    <w:rsid w:val="00125C43"/>
    <w:rsid w:val="00130A6B"/>
    <w:rsid w:val="0013174D"/>
    <w:rsid w:val="00131851"/>
    <w:rsid w:val="00131C3B"/>
    <w:rsid w:val="00132866"/>
    <w:rsid w:val="0013312E"/>
    <w:rsid w:val="00134C36"/>
    <w:rsid w:val="00134CBB"/>
    <w:rsid w:val="00135245"/>
    <w:rsid w:val="00136358"/>
    <w:rsid w:val="00136C3F"/>
    <w:rsid w:val="00136CCD"/>
    <w:rsid w:val="001425A1"/>
    <w:rsid w:val="00142ACA"/>
    <w:rsid w:val="001446CD"/>
    <w:rsid w:val="00145670"/>
    <w:rsid w:val="001458A3"/>
    <w:rsid w:val="001464DB"/>
    <w:rsid w:val="00146676"/>
    <w:rsid w:val="00146989"/>
    <w:rsid w:val="00146D2F"/>
    <w:rsid w:val="00147A01"/>
    <w:rsid w:val="00147D6D"/>
    <w:rsid w:val="0015056C"/>
    <w:rsid w:val="00150918"/>
    <w:rsid w:val="0015241A"/>
    <w:rsid w:val="0015332D"/>
    <w:rsid w:val="00153B72"/>
    <w:rsid w:val="00154D67"/>
    <w:rsid w:val="00155840"/>
    <w:rsid w:val="00156B9A"/>
    <w:rsid w:val="001626FB"/>
    <w:rsid w:val="00167581"/>
    <w:rsid w:val="00167B7D"/>
    <w:rsid w:val="00167BBC"/>
    <w:rsid w:val="00170261"/>
    <w:rsid w:val="0017080B"/>
    <w:rsid w:val="00171FC5"/>
    <w:rsid w:val="00171FDF"/>
    <w:rsid w:val="00172EDE"/>
    <w:rsid w:val="001738A2"/>
    <w:rsid w:val="001748E0"/>
    <w:rsid w:val="00175D48"/>
    <w:rsid w:val="001775ED"/>
    <w:rsid w:val="001778A8"/>
    <w:rsid w:val="00177EE9"/>
    <w:rsid w:val="0018520E"/>
    <w:rsid w:val="001859DF"/>
    <w:rsid w:val="001860D0"/>
    <w:rsid w:val="00186C86"/>
    <w:rsid w:val="001872A8"/>
    <w:rsid w:val="001908AF"/>
    <w:rsid w:val="00190C36"/>
    <w:rsid w:val="001923C1"/>
    <w:rsid w:val="00193D71"/>
    <w:rsid w:val="00194FCB"/>
    <w:rsid w:val="00195457"/>
    <w:rsid w:val="00195EA3"/>
    <w:rsid w:val="00196261"/>
    <w:rsid w:val="001962D1"/>
    <w:rsid w:val="001967ED"/>
    <w:rsid w:val="00197DE7"/>
    <w:rsid w:val="001A08CD"/>
    <w:rsid w:val="001A0CBC"/>
    <w:rsid w:val="001A28D7"/>
    <w:rsid w:val="001A30D5"/>
    <w:rsid w:val="001A42B9"/>
    <w:rsid w:val="001A51D2"/>
    <w:rsid w:val="001A5B02"/>
    <w:rsid w:val="001A7047"/>
    <w:rsid w:val="001A715E"/>
    <w:rsid w:val="001B1442"/>
    <w:rsid w:val="001B2596"/>
    <w:rsid w:val="001B2A5B"/>
    <w:rsid w:val="001B547C"/>
    <w:rsid w:val="001B73DF"/>
    <w:rsid w:val="001B7E13"/>
    <w:rsid w:val="001C076D"/>
    <w:rsid w:val="001C0797"/>
    <w:rsid w:val="001C1B51"/>
    <w:rsid w:val="001C2EF8"/>
    <w:rsid w:val="001C387F"/>
    <w:rsid w:val="001C3A77"/>
    <w:rsid w:val="001C3B78"/>
    <w:rsid w:val="001C4804"/>
    <w:rsid w:val="001C59CB"/>
    <w:rsid w:val="001C683F"/>
    <w:rsid w:val="001D0858"/>
    <w:rsid w:val="001D09D2"/>
    <w:rsid w:val="001D11C6"/>
    <w:rsid w:val="001D1263"/>
    <w:rsid w:val="001D43CF"/>
    <w:rsid w:val="001D606E"/>
    <w:rsid w:val="001D763B"/>
    <w:rsid w:val="001E0A7B"/>
    <w:rsid w:val="001E0F18"/>
    <w:rsid w:val="001E0F45"/>
    <w:rsid w:val="001E115E"/>
    <w:rsid w:val="001E2886"/>
    <w:rsid w:val="001E2973"/>
    <w:rsid w:val="001E3B8C"/>
    <w:rsid w:val="001E3CF3"/>
    <w:rsid w:val="001E4C75"/>
    <w:rsid w:val="001E55D5"/>
    <w:rsid w:val="001E6762"/>
    <w:rsid w:val="001E6E7A"/>
    <w:rsid w:val="001E6F0C"/>
    <w:rsid w:val="001E703F"/>
    <w:rsid w:val="001E7598"/>
    <w:rsid w:val="001F10F3"/>
    <w:rsid w:val="001F28AB"/>
    <w:rsid w:val="001F338E"/>
    <w:rsid w:val="001F3903"/>
    <w:rsid w:val="001F492D"/>
    <w:rsid w:val="001F6658"/>
    <w:rsid w:val="00201E68"/>
    <w:rsid w:val="00202739"/>
    <w:rsid w:val="0020287E"/>
    <w:rsid w:val="00202CCA"/>
    <w:rsid w:val="00202DDD"/>
    <w:rsid w:val="00203826"/>
    <w:rsid w:val="00204AD9"/>
    <w:rsid w:val="002052C9"/>
    <w:rsid w:val="00205906"/>
    <w:rsid w:val="00206C05"/>
    <w:rsid w:val="00213DF6"/>
    <w:rsid w:val="002150FF"/>
    <w:rsid w:val="00216165"/>
    <w:rsid w:val="00217B54"/>
    <w:rsid w:val="00217E7A"/>
    <w:rsid w:val="00220010"/>
    <w:rsid w:val="002207A6"/>
    <w:rsid w:val="002221D6"/>
    <w:rsid w:val="00222656"/>
    <w:rsid w:val="00222D21"/>
    <w:rsid w:val="00223D31"/>
    <w:rsid w:val="002257DA"/>
    <w:rsid w:val="0022711E"/>
    <w:rsid w:val="002271C6"/>
    <w:rsid w:val="00232140"/>
    <w:rsid w:val="00232E0B"/>
    <w:rsid w:val="00235B5B"/>
    <w:rsid w:val="00235C47"/>
    <w:rsid w:val="00236143"/>
    <w:rsid w:val="0023664B"/>
    <w:rsid w:val="002374F4"/>
    <w:rsid w:val="002400DB"/>
    <w:rsid w:val="002408B4"/>
    <w:rsid w:val="002419E5"/>
    <w:rsid w:val="00241D59"/>
    <w:rsid w:val="002434E7"/>
    <w:rsid w:val="002444E5"/>
    <w:rsid w:val="002453F0"/>
    <w:rsid w:val="00245718"/>
    <w:rsid w:val="00246223"/>
    <w:rsid w:val="00246C26"/>
    <w:rsid w:val="00247710"/>
    <w:rsid w:val="00251029"/>
    <w:rsid w:val="0025135B"/>
    <w:rsid w:val="00251839"/>
    <w:rsid w:val="00251881"/>
    <w:rsid w:val="00251C97"/>
    <w:rsid w:val="00252D5D"/>
    <w:rsid w:val="00253C9E"/>
    <w:rsid w:val="00253CEC"/>
    <w:rsid w:val="00254E24"/>
    <w:rsid w:val="00257BB9"/>
    <w:rsid w:val="00261234"/>
    <w:rsid w:val="00263531"/>
    <w:rsid w:val="002637DE"/>
    <w:rsid w:val="00266F98"/>
    <w:rsid w:val="002671E2"/>
    <w:rsid w:val="00267FF8"/>
    <w:rsid w:val="002719D6"/>
    <w:rsid w:val="00271BC6"/>
    <w:rsid w:val="00273598"/>
    <w:rsid w:val="00274554"/>
    <w:rsid w:val="00276998"/>
    <w:rsid w:val="002827B8"/>
    <w:rsid w:val="00282845"/>
    <w:rsid w:val="002851C1"/>
    <w:rsid w:val="0028574C"/>
    <w:rsid w:val="00285E32"/>
    <w:rsid w:val="00286E48"/>
    <w:rsid w:val="002870F5"/>
    <w:rsid w:val="00287192"/>
    <w:rsid w:val="00287BF6"/>
    <w:rsid w:val="00290740"/>
    <w:rsid w:val="00290A32"/>
    <w:rsid w:val="00291122"/>
    <w:rsid w:val="002918F5"/>
    <w:rsid w:val="00291FC6"/>
    <w:rsid w:val="00292544"/>
    <w:rsid w:val="00293066"/>
    <w:rsid w:val="00293261"/>
    <w:rsid w:val="0029340B"/>
    <w:rsid w:val="00294A85"/>
    <w:rsid w:val="00294E83"/>
    <w:rsid w:val="00295062"/>
    <w:rsid w:val="00295B18"/>
    <w:rsid w:val="0029697E"/>
    <w:rsid w:val="0029721C"/>
    <w:rsid w:val="002A02A8"/>
    <w:rsid w:val="002A0C43"/>
    <w:rsid w:val="002A1A32"/>
    <w:rsid w:val="002A435B"/>
    <w:rsid w:val="002A5F6F"/>
    <w:rsid w:val="002A61C0"/>
    <w:rsid w:val="002A7A39"/>
    <w:rsid w:val="002A7A96"/>
    <w:rsid w:val="002A7E53"/>
    <w:rsid w:val="002B0170"/>
    <w:rsid w:val="002B0254"/>
    <w:rsid w:val="002B0AA8"/>
    <w:rsid w:val="002B1321"/>
    <w:rsid w:val="002B1B0A"/>
    <w:rsid w:val="002B1C7C"/>
    <w:rsid w:val="002B5A29"/>
    <w:rsid w:val="002B7C45"/>
    <w:rsid w:val="002C00A6"/>
    <w:rsid w:val="002C04D7"/>
    <w:rsid w:val="002C1319"/>
    <w:rsid w:val="002C56D5"/>
    <w:rsid w:val="002C6484"/>
    <w:rsid w:val="002C7108"/>
    <w:rsid w:val="002C7BFA"/>
    <w:rsid w:val="002D141D"/>
    <w:rsid w:val="002D167F"/>
    <w:rsid w:val="002D1D99"/>
    <w:rsid w:val="002D1F9C"/>
    <w:rsid w:val="002D36B5"/>
    <w:rsid w:val="002D3F87"/>
    <w:rsid w:val="002D43BC"/>
    <w:rsid w:val="002D57BF"/>
    <w:rsid w:val="002E232D"/>
    <w:rsid w:val="002E4D64"/>
    <w:rsid w:val="002E5AE2"/>
    <w:rsid w:val="002E5BD7"/>
    <w:rsid w:val="002F21B9"/>
    <w:rsid w:val="002F26F4"/>
    <w:rsid w:val="002F45AC"/>
    <w:rsid w:val="002F5277"/>
    <w:rsid w:val="002F59F6"/>
    <w:rsid w:val="002F7469"/>
    <w:rsid w:val="00300486"/>
    <w:rsid w:val="00302F24"/>
    <w:rsid w:val="003047A1"/>
    <w:rsid w:val="00304815"/>
    <w:rsid w:val="00307660"/>
    <w:rsid w:val="0031035B"/>
    <w:rsid w:val="00310FF5"/>
    <w:rsid w:val="003139F5"/>
    <w:rsid w:val="00313C38"/>
    <w:rsid w:val="00314F3D"/>
    <w:rsid w:val="003176FC"/>
    <w:rsid w:val="0032163A"/>
    <w:rsid w:val="00321656"/>
    <w:rsid w:val="0032512B"/>
    <w:rsid w:val="00325780"/>
    <w:rsid w:val="00331EF0"/>
    <w:rsid w:val="00332ABD"/>
    <w:rsid w:val="00333786"/>
    <w:rsid w:val="003351D1"/>
    <w:rsid w:val="00335597"/>
    <w:rsid w:val="00337097"/>
    <w:rsid w:val="00337694"/>
    <w:rsid w:val="00341075"/>
    <w:rsid w:val="00341EC9"/>
    <w:rsid w:val="00342559"/>
    <w:rsid w:val="00342837"/>
    <w:rsid w:val="00344969"/>
    <w:rsid w:val="003456D8"/>
    <w:rsid w:val="00347CA7"/>
    <w:rsid w:val="003523C8"/>
    <w:rsid w:val="003526B3"/>
    <w:rsid w:val="00352B89"/>
    <w:rsid w:val="00353167"/>
    <w:rsid w:val="003555E7"/>
    <w:rsid w:val="003617C4"/>
    <w:rsid w:val="0036183A"/>
    <w:rsid w:val="00362FA8"/>
    <w:rsid w:val="0036387F"/>
    <w:rsid w:val="0036440F"/>
    <w:rsid w:val="00365243"/>
    <w:rsid w:val="00365E6D"/>
    <w:rsid w:val="00371D27"/>
    <w:rsid w:val="003732F9"/>
    <w:rsid w:val="00375DA9"/>
    <w:rsid w:val="00376E09"/>
    <w:rsid w:val="003800EC"/>
    <w:rsid w:val="003814B4"/>
    <w:rsid w:val="00382F8F"/>
    <w:rsid w:val="00383002"/>
    <w:rsid w:val="00383E96"/>
    <w:rsid w:val="00386A83"/>
    <w:rsid w:val="003874CB"/>
    <w:rsid w:val="00391B99"/>
    <w:rsid w:val="00391C44"/>
    <w:rsid w:val="003929A8"/>
    <w:rsid w:val="00392ACF"/>
    <w:rsid w:val="00394C86"/>
    <w:rsid w:val="00395FC8"/>
    <w:rsid w:val="003A1CEB"/>
    <w:rsid w:val="003A36CD"/>
    <w:rsid w:val="003A3845"/>
    <w:rsid w:val="003A43F0"/>
    <w:rsid w:val="003A5A7D"/>
    <w:rsid w:val="003A654D"/>
    <w:rsid w:val="003A77DA"/>
    <w:rsid w:val="003B0259"/>
    <w:rsid w:val="003B501E"/>
    <w:rsid w:val="003B6DD3"/>
    <w:rsid w:val="003B73B9"/>
    <w:rsid w:val="003C059D"/>
    <w:rsid w:val="003C0834"/>
    <w:rsid w:val="003C2486"/>
    <w:rsid w:val="003D0A25"/>
    <w:rsid w:val="003D2D82"/>
    <w:rsid w:val="003D494A"/>
    <w:rsid w:val="003D561B"/>
    <w:rsid w:val="003D6C65"/>
    <w:rsid w:val="003D7F13"/>
    <w:rsid w:val="003E0182"/>
    <w:rsid w:val="003E15A8"/>
    <w:rsid w:val="003E263F"/>
    <w:rsid w:val="003E39B2"/>
    <w:rsid w:val="003E3B39"/>
    <w:rsid w:val="003E3E01"/>
    <w:rsid w:val="003E427D"/>
    <w:rsid w:val="003E60C5"/>
    <w:rsid w:val="003E6C50"/>
    <w:rsid w:val="003E6E90"/>
    <w:rsid w:val="003E79F2"/>
    <w:rsid w:val="003F0FF8"/>
    <w:rsid w:val="003F1752"/>
    <w:rsid w:val="003F1FF0"/>
    <w:rsid w:val="003F2BAD"/>
    <w:rsid w:val="003F4010"/>
    <w:rsid w:val="003F4893"/>
    <w:rsid w:val="003F5C51"/>
    <w:rsid w:val="003F61D7"/>
    <w:rsid w:val="003F7BD0"/>
    <w:rsid w:val="004003C5"/>
    <w:rsid w:val="0040114F"/>
    <w:rsid w:val="0040217D"/>
    <w:rsid w:val="00402E96"/>
    <w:rsid w:val="004035D4"/>
    <w:rsid w:val="004036F7"/>
    <w:rsid w:val="00406E94"/>
    <w:rsid w:val="004078CF"/>
    <w:rsid w:val="00407D58"/>
    <w:rsid w:val="00410718"/>
    <w:rsid w:val="004108BA"/>
    <w:rsid w:val="0041173E"/>
    <w:rsid w:val="00413881"/>
    <w:rsid w:val="004148D3"/>
    <w:rsid w:val="00415F4D"/>
    <w:rsid w:val="004215F3"/>
    <w:rsid w:val="00422795"/>
    <w:rsid w:val="00423554"/>
    <w:rsid w:val="004242DE"/>
    <w:rsid w:val="00425384"/>
    <w:rsid w:val="00427D84"/>
    <w:rsid w:val="00430C76"/>
    <w:rsid w:val="00433136"/>
    <w:rsid w:val="0043431C"/>
    <w:rsid w:val="00435744"/>
    <w:rsid w:val="00441628"/>
    <w:rsid w:val="00442245"/>
    <w:rsid w:val="00442345"/>
    <w:rsid w:val="004429F7"/>
    <w:rsid w:val="00442D70"/>
    <w:rsid w:val="00442F05"/>
    <w:rsid w:val="0044337E"/>
    <w:rsid w:val="00444535"/>
    <w:rsid w:val="004453F7"/>
    <w:rsid w:val="0044548C"/>
    <w:rsid w:val="004508E4"/>
    <w:rsid w:val="00451928"/>
    <w:rsid w:val="00456004"/>
    <w:rsid w:val="004572F5"/>
    <w:rsid w:val="00457541"/>
    <w:rsid w:val="0046040E"/>
    <w:rsid w:val="00460FC3"/>
    <w:rsid w:val="0046142C"/>
    <w:rsid w:val="004623AE"/>
    <w:rsid w:val="00463873"/>
    <w:rsid w:val="00463A8A"/>
    <w:rsid w:val="0046487C"/>
    <w:rsid w:val="00464B47"/>
    <w:rsid w:val="00466A53"/>
    <w:rsid w:val="00470B2D"/>
    <w:rsid w:val="00472B6C"/>
    <w:rsid w:val="00477EC0"/>
    <w:rsid w:val="004803B0"/>
    <w:rsid w:val="004821E5"/>
    <w:rsid w:val="0048485A"/>
    <w:rsid w:val="00484C8F"/>
    <w:rsid w:val="00486A20"/>
    <w:rsid w:val="004872B9"/>
    <w:rsid w:val="004873EB"/>
    <w:rsid w:val="004900FF"/>
    <w:rsid w:val="004906C6"/>
    <w:rsid w:val="00491979"/>
    <w:rsid w:val="00491C93"/>
    <w:rsid w:val="004924FA"/>
    <w:rsid w:val="0049344A"/>
    <w:rsid w:val="00493AF9"/>
    <w:rsid w:val="004948D9"/>
    <w:rsid w:val="00496562"/>
    <w:rsid w:val="00496859"/>
    <w:rsid w:val="0049699D"/>
    <w:rsid w:val="00496A28"/>
    <w:rsid w:val="004A0482"/>
    <w:rsid w:val="004A0570"/>
    <w:rsid w:val="004A0907"/>
    <w:rsid w:val="004A0A81"/>
    <w:rsid w:val="004A1ADB"/>
    <w:rsid w:val="004A22C0"/>
    <w:rsid w:val="004A34B2"/>
    <w:rsid w:val="004A3C59"/>
    <w:rsid w:val="004A3DB5"/>
    <w:rsid w:val="004A4EBE"/>
    <w:rsid w:val="004A679B"/>
    <w:rsid w:val="004A73C9"/>
    <w:rsid w:val="004A7F7C"/>
    <w:rsid w:val="004B107C"/>
    <w:rsid w:val="004B21E6"/>
    <w:rsid w:val="004B2BC9"/>
    <w:rsid w:val="004B44BB"/>
    <w:rsid w:val="004B4E16"/>
    <w:rsid w:val="004B612C"/>
    <w:rsid w:val="004B752B"/>
    <w:rsid w:val="004C05E2"/>
    <w:rsid w:val="004C0A92"/>
    <w:rsid w:val="004C1F2D"/>
    <w:rsid w:val="004C1F98"/>
    <w:rsid w:val="004C26A6"/>
    <w:rsid w:val="004C2B82"/>
    <w:rsid w:val="004C477D"/>
    <w:rsid w:val="004C479D"/>
    <w:rsid w:val="004C48F2"/>
    <w:rsid w:val="004C7125"/>
    <w:rsid w:val="004C7351"/>
    <w:rsid w:val="004D1FEB"/>
    <w:rsid w:val="004D2565"/>
    <w:rsid w:val="004D4E32"/>
    <w:rsid w:val="004D510A"/>
    <w:rsid w:val="004D6F80"/>
    <w:rsid w:val="004D7B15"/>
    <w:rsid w:val="004E0BD1"/>
    <w:rsid w:val="004E0D3A"/>
    <w:rsid w:val="004E140C"/>
    <w:rsid w:val="004E5003"/>
    <w:rsid w:val="004E62BB"/>
    <w:rsid w:val="004E6E04"/>
    <w:rsid w:val="004E6FA6"/>
    <w:rsid w:val="004F1CFF"/>
    <w:rsid w:val="004F274E"/>
    <w:rsid w:val="00500177"/>
    <w:rsid w:val="005023C6"/>
    <w:rsid w:val="005025E7"/>
    <w:rsid w:val="005032DB"/>
    <w:rsid w:val="005035C3"/>
    <w:rsid w:val="00504B14"/>
    <w:rsid w:val="00507534"/>
    <w:rsid w:val="00510908"/>
    <w:rsid w:val="005111A6"/>
    <w:rsid w:val="005119B3"/>
    <w:rsid w:val="00511BB0"/>
    <w:rsid w:val="00511E55"/>
    <w:rsid w:val="005121EE"/>
    <w:rsid w:val="0051253A"/>
    <w:rsid w:val="00513F9F"/>
    <w:rsid w:val="00514971"/>
    <w:rsid w:val="00514D73"/>
    <w:rsid w:val="00514E47"/>
    <w:rsid w:val="00524AE5"/>
    <w:rsid w:val="005254BA"/>
    <w:rsid w:val="00525BD4"/>
    <w:rsid w:val="005265CA"/>
    <w:rsid w:val="005276FD"/>
    <w:rsid w:val="00527723"/>
    <w:rsid w:val="00527849"/>
    <w:rsid w:val="005279B0"/>
    <w:rsid w:val="00527BD2"/>
    <w:rsid w:val="00533306"/>
    <w:rsid w:val="005343EB"/>
    <w:rsid w:val="0053455B"/>
    <w:rsid w:val="00534B80"/>
    <w:rsid w:val="00534B8D"/>
    <w:rsid w:val="00534D7A"/>
    <w:rsid w:val="00536DDC"/>
    <w:rsid w:val="00540D2B"/>
    <w:rsid w:val="005422B3"/>
    <w:rsid w:val="00543A8D"/>
    <w:rsid w:val="00543F9C"/>
    <w:rsid w:val="00545176"/>
    <w:rsid w:val="00545BB6"/>
    <w:rsid w:val="00545F80"/>
    <w:rsid w:val="00545F91"/>
    <w:rsid w:val="00546D8B"/>
    <w:rsid w:val="00551341"/>
    <w:rsid w:val="00551E4B"/>
    <w:rsid w:val="00554C48"/>
    <w:rsid w:val="00554CEB"/>
    <w:rsid w:val="00556A4E"/>
    <w:rsid w:val="00557351"/>
    <w:rsid w:val="0055774A"/>
    <w:rsid w:val="005622A5"/>
    <w:rsid w:val="00562E7A"/>
    <w:rsid w:val="005675E3"/>
    <w:rsid w:val="0057176D"/>
    <w:rsid w:val="00572EB3"/>
    <w:rsid w:val="005746AE"/>
    <w:rsid w:val="005750FC"/>
    <w:rsid w:val="00576552"/>
    <w:rsid w:val="00582AB3"/>
    <w:rsid w:val="005856B0"/>
    <w:rsid w:val="0058620C"/>
    <w:rsid w:val="00586658"/>
    <w:rsid w:val="0059021F"/>
    <w:rsid w:val="00590420"/>
    <w:rsid w:val="00590999"/>
    <w:rsid w:val="00592756"/>
    <w:rsid w:val="005927AE"/>
    <w:rsid w:val="0059432C"/>
    <w:rsid w:val="00595398"/>
    <w:rsid w:val="005953C0"/>
    <w:rsid w:val="00595D9C"/>
    <w:rsid w:val="005961AF"/>
    <w:rsid w:val="005977BC"/>
    <w:rsid w:val="005A0D88"/>
    <w:rsid w:val="005A1194"/>
    <w:rsid w:val="005A2E6B"/>
    <w:rsid w:val="005A64D6"/>
    <w:rsid w:val="005A75B5"/>
    <w:rsid w:val="005B085A"/>
    <w:rsid w:val="005B0DF8"/>
    <w:rsid w:val="005B1D20"/>
    <w:rsid w:val="005B2268"/>
    <w:rsid w:val="005B2DAE"/>
    <w:rsid w:val="005B354F"/>
    <w:rsid w:val="005B3AD3"/>
    <w:rsid w:val="005B631D"/>
    <w:rsid w:val="005B66C8"/>
    <w:rsid w:val="005C0A43"/>
    <w:rsid w:val="005C0A6F"/>
    <w:rsid w:val="005C0CC6"/>
    <w:rsid w:val="005C53B0"/>
    <w:rsid w:val="005C56FB"/>
    <w:rsid w:val="005C5DAD"/>
    <w:rsid w:val="005D1F56"/>
    <w:rsid w:val="005D2056"/>
    <w:rsid w:val="005D20B8"/>
    <w:rsid w:val="005D4848"/>
    <w:rsid w:val="005D656C"/>
    <w:rsid w:val="005D74A4"/>
    <w:rsid w:val="005D7DB9"/>
    <w:rsid w:val="005E03FD"/>
    <w:rsid w:val="005E0B49"/>
    <w:rsid w:val="005E114D"/>
    <w:rsid w:val="005E1E02"/>
    <w:rsid w:val="005E26C5"/>
    <w:rsid w:val="005E2CC0"/>
    <w:rsid w:val="005E34AE"/>
    <w:rsid w:val="005E64A9"/>
    <w:rsid w:val="005E64C8"/>
    <w:rsid w:val="005E68FA"/>
    <w:rsid w:val="005F067E"/>
    <w:rsid w:val="005F2DA2"/>
    <w:rsid w:val="005F2EA2"/>
    <w:rsid w:val="005F5026"/>
    <w:rsid w:val="005F5528"/>
    <w:rsid w:val="005F6C8B"/>
    <w:rsid w:val="005F6D80"/>
    <w:rsid w:val="005F6ED4"/>
    <w:rsid w:val="005F6F95"/>
    <w:rsid w:val="005F754B"/>
    <w:rsid w:val="00601ADA"/>
    <w:rsid w:val="00601DBC"/>
    <w:rsid w:val="006028DA"/>
    <w:rsid w:val="00602B81"/>
    <w:rsid w:val="0060433B"/>
    <w:rsid w:val="0060595E"/>
    <w:rsid w:val="00606833"/>
    <w:rsid w:val="006069C6"/>
    <w:rsid w:val="00611932"/>
    <w:rsid w:val="0061208B"/>
    <w:rsid w:val="0061258B"/>
    <w:rsid w:val="0061375F"/>
    <w:rsid w:val="00614CB0"/>
    <w:rsid w:val="00614F18"/>
    <w:rsid w:val="0061634E"/>
    <w:rsid w:val="00620201"/>
    <w:rsid w:val="00623380"/>
    <w:rsid w:val="006244C7"/>
    <w:rsid w:val="00624D98"/>
    <w:rsid w:val="00625545"/>
    <w:rsid w:val="00625B24"/>
    <w:rsid w:val="00632671"/>
    <w:rsid w:val="00632EF6"/>
    <w:rsid w:val="00633E69"/>
    <w:rsid w:val="00634323"/>
    <w:rsid w:val="00634728"/>
    <w:rsid w:val="0063481E"/>
    <w:rsid w:val="00634C8D"/>
    <w:rsid w:val="0063600C"/>
    <w:rsid w:val="00636E71"/>
    <w:rsid w:val="00641237"/>
    <w:rsid w:val="006412EB"/>
    <w:rsid w:val="00641F4C"/>
    <w:rsid w:val="0064240A"/>
    <w:rsid w:val="00642773"/>
    <w:rsid w:val="00643F98"/>
    <w:rsid w:val="00644817"/>
    <w:rsid w:val="006454EC"/>
    <w:rsid w:val="006512CA"/>
    <w:rsid w:val="006527EC"/>
    <w:rsid w:val="006537A6"/>
    <w:rsid w:val="006540AD"/>
    <w:rsid w:val="0065431C"/>
    <w:rsid w:val="00654524"/>
    <w:rsid w:val="00655DF6"/>
    <w:rsid w:val="006570D2"/>
    <w:rsid w:val="00657646"/>
    <w:rsid w:val="006601B0"/>
    <w:rsid w:val="00660C4F"/>
    <w:rsid w:val="00661F3C"/>
    <w:rsid w:val="006628BA"/>
    <w:rsid w:val="00664125"/>
    <w:rsid w:val="006646F8"/>
    <w:rsid w:val="006648B6"/>
    <w:rsid w:val="00664BC6"/>
    <w:rsid w:val="00667957"/>
    <w:rsid w:val="00670154"/>
    <w:rsid w:val="006717E4"/>
    <w:rsid w:val="006718C4"/>
    <w:rsid w:val="006722A7"/>
    <w:rsid w:val="00674FCD"/>
    <w:rsid w:val="00676215"/>
    <w:rsid w:val="006768C0"/>
    <w:rsid w:val="00680485"/>
    <w:rsid w:val="00680B6F"/>
    <w:rsid w:val="00680C3D"/>
    <w:rsid w:val="006823A4"/>
    <w:rsid w:val="00682419"/>
    <w:rsid w:val="00682464"/>
    <w:rsid w:val="0068280C"/>
    <w:rsid w:val="006828D1"/>
    <w:rsid w:val="00687167"/>
    <w:rsid w:val="006876D4"/>
    <w:rsid w:val="0069064B"/>
    <w:rsid w:val="00691CE5"/>
    <w:rsid w:val="00693DBB"/>
    <w:rsid w:val="0069483C"/>
    <w:rsid w:val="0069773D"/>
    <w:rsid w:val="006A0531"/>
    <w:rsid w:val="006A29A4"/>
    <w:rsid w:val="006A309E"/>
    <w:rsid w:val="006A31C5"/>
    <w:rsid w:val="006A384C"/>
    <w:rsid w:val="006A426A"/>
    <w:rsid w:val="006A47B7"/>
    <w:rsid w:val="006A6E74"/>
    <w:rsid w:val="006B1B22"/>
    <w:rsid w:val="006B2670"/>
    <w:rsid w:val="006B469A"/>
    <w:rsid w:val="006B5C6B"/>
    <w:rsid w:val="006B78B9"/>
    <w:rsid w:val="006B7FE6"/>
    <w:rsid w:val="006B7FFA"/>
    <w:rsid w:val="006C03CC"/>
    <w:rsid w:val="006C04F6"/>
    <w:rsid w:val="006C1DED"/>
    <w:rsid w:val="006C4849"/>
    <w:rsid w:val="006C4A69"/>
    <w:rsid w:val="006C66D7"/>
    <w:rsid w:val="006C797C"/>
    <w:rsid w:val="006D0494"/>
    <w:rsid w:val="006D0DFF"/>
    <w:rsid w:val="006D2732"/>
    <w:rsid w:val="006D2BDC"/>
    <w:rsid w:val="006D3A9F"/>
    <w:rsid w:val="006D48C2"/>
    <w:rsid w:val="006D57D6"/>
    <w:rsid w:val="006D7FB9"/>
    <w:rsid w:val="006E6B6A"/>
    <w:rsid w:val="006E70AF"/>
    <w:rsid w:val="006E786E"/>
    <w:rsid w:val="006E7C82"/>
    <w:rsid w:val="006F04D9"/>
    <w:rsid w:val="006F0E1E"/>
    <w:rsid w:val="006F1260"/>
    <w:rsid w:val="006F1861"/>
    <w:rsid w:val="006F295E"/>
    <w:rsid w:val="006F370E"/>
    <w:rsid w:val="006F4657"/>
    <w:rsid w:val="006F51FC"/>
    <w:rsid w:val="006F673C"/>
    <w:rsid w:val="006F7F40"/>
    <w:rsid w:val="0070137A"/>
    <w:rsid w:val="0070137D"/>
    <w:rsid w:val="00702DD7"/>
    <w:rsid w:val="00702DD8"/>
    <w:rsid w:val="007034C4"/>
    <w:rsid w:val="00703AFA"/>
    <w:rsid w:val="00704CB8"/>
    <w:rsid w:val="0070529F"/>
    <w:rsid w:val="00706F4A"/>
    <w:rsid w:val="0070743F"/>
    <w:rsid w:val="00710A4A"/>
    <w:rsid w:val="0071217B"/>
    <w:rsid w:val="007125D0"/>
    <w:rsid w:val="00712EFB"/>
    <w:rsid w:val="00715064"/>
    <w:rsid w:val="0072058E"/>
    <w:rsid w:val="007216D5"/>
    <w:rsid w:val="0072270D"/>
    <w:rsid w:val="0072323F"/>
    <w:rsid w:val="0072573F"/>
    <w:rsid w:val="0072668A"/>
    <w:rsid w:val="0072668D"/>
    <w:rsid w:val="007270D2"/>
    <w:rsid w:val="00730554"/>
    <w:rsid w:val="00730E41"/>
    <w:rsid w:val="00731E1B"/>
    <w:rsid w:val="0073412A"/>
    <w:rsid w:val="007347C0"/>
    <w:rsid w:val="00737CDD"/>
    <w:rsid w:val="007400C9"/>
    <w:rsid w:val="00740CC3"/>
    <w:rsid w:val="00740D54"/>
    <w:rsid w:val="0074169E"/>
    <w:rsid w:val="00741711"/>
    <w:rsid w:val="00741B3B"/>
    <w:rsid w:val="00741B3E"/>
    <w:rsid w:val="00741B59"/>
    <w:rsid w:val="00742952"/>
    <w:rsid w:val="00743834"/>
    <w:rsid w:val="00743AED"/>
    <w:rsid w:val="00750EF7"/>
    <w:rsid w:val="00751287"/>
    <w:rsid w:val="00751B6A"/>
    <w:rsid w:val="007521B4"/>
    <w:rsid w:val="00752443"/>
    <w:rsid w:val="007528B6"/>
    <w:rsid w:val="0075300C"/>
    <w:rsid w:val="00753C0B"/>
    <w:rsid w:val="00754522"/>
    <w:rsid w:val="00757EAA"/>
    <w:rsid w:val="0076030A"/>
    <w:rsid w:val="00760B62"/>
    <w:rsid w:val="00762851"/>
    <w:rsid w:val="00762BED"/>
    <w:rsid w:val="007643A6"/>
    <w:rsid w:val="00766609"/>
    <w:rsid w:val="00766DF8"/>
    <w:rsid w:val="00772C27"/>
    <w:rsid w:val="00773BBC"/>
    <w:rsid w:val="00773BD3"/>
    <w:rsid w:val="00774C91"/>
    <w:rsid w:val="00774F77"/>
    <w:rsid w:val="0077545A"/>
    <w:rsid w:val="0077546A"/>
    <w:rsid w:val="007768B4"/>
    <w:rsid w:val="00777221"/>
    <w:rsid w:val="00777BFA"/>
    <w:rsid w:val="007806AB"/>
    <w:rsid w:val="007813B5"/>
    <w:rsid w:val="0078239C"/>
    <w:rsid w:val="00783872"/>
    <w:rsid w:val="00785127"/>
    <w:rsid w:val="00785B38"/>
    <w:rsid w:val="00787E06"/>
    <w:rsid w:val="007907D2"/>
    <w:rsid w:val="007940A4"/>
    <w:rsid w:val="00794151"/>
    <w:rsid w:val="00795270"/>
    <w:rsid w:val="007958B3"/>
    <w:rsid w:val="00795F84"/>
    <w:rsid w:val="0079635F"/>
    <w:rsid w:val="00797DED"/>
    <w:rsid w:val="007A09E7"/>
    <w:rsid w:val="007A108A"/>
    <w:rsid w:val="007A23A8"/>
    <w:rsid w:val="007A2457"/>
    <w:rsid w:val="007A2501"/>
    <w:rsid w:val="007A250B"/>
    <w:rsid w:val="007A2C6C"/>
    <w:rsid w:val="007A3129"/>
    <w:rsid w:val="007A3D90"/>
    <w:rsid w:val="007A65CB"/>
    <w:rsid w:val="007A6803"/>
    <w:rsid w:val="007A7825"/>
    <w:rsid w:val="007A7AE5"/>
    <w:rsid w:val="007B0823"/>
    <w:rsid w:val="007B199E"/>
    <w:rsid w:val="007B1E5E"/>
    <w:rsid w:val="007B2A20"/>
    <w:rsid w:val="007B4092"/>
    <w:rsid w:val="007B4132"/>
    <w:rsid w:val="007B4870"/>
    <w:rsid w:val="007B50AC"/>
    <w:rsid w:val="007B55A9"/>
    <w:rsid w:val="007B565A"/>
    <w:rsid w:val="007B658B"/>
    <w:rsid w:val="007B70FF"/>
    <w:rsid w:val="007B737C"/>
    <w:rsid w:val="007C02AA"/>
    <w:rsid w:val="007C09BA"/>
    <w:rsid w:val="007C0A45"/>
    <w:rsid w:val="007C0F7E"/>
    <w:rsid w:val="007C20A6"/>
    <w:rsid w:val="007C36B5"/>
    <w:rsid w:val="007C3F1E"/>
    <w:rsid w:val="007C4203"/>
    <w:rsid w:val="007C49FD"/>
    <w:rsid w:val="007C692B"/>
    <w:rsid w:val="007C699C"/>
    <w:rsid w:val="007C6EFF"/>
    <w:rsid w:val="007D1482"/>
    <w:rsid w:val="007D1D3F"/>
    <w:rsid w:val="007D269D"/>
    <w:rsid w:val="007D34A8"/>
    <w:rsid w:val="007D3825"/>
    <w:rsid w:val="007D4614"/>
    <w:rsid w:val="007D47E2"/>
    <w:rsid w:val="007D512F"/>
    <w:rsid w:val="007D51E5"/>
    <w:rsid w:val="007D5252"/>
    <w:rsid w:val="007D6C37"/>
    <w:rsid w:val="007D716F"/>
    <w:rsid w:val="007E2F66"/>
    <w:rsid w:val="007E5953"/>
    <w:rsid w:val="007E74A5"/>
    <w:rsid w:val="007E7896"/>
    <w:rsid w:val="007E7B85"/>
    <w:rsid w:val="007F08FE"/>
    <w:rsid w:val="007F0971"/>
    <w:rsid w:val="007F17C4"/>
    <w:rsid w:val="007F2779"/>
    <w:rsid w:val="007F3075"/>
    <w:rsid w:val="007F3B2D"/>
    <w:rsid w:val="007F3EF2"/>
    <w:rsid w:val="007F616B"/>
    <w:rsid w:val="007F639C"/>
    <w:rsid w:val="007F6792"/>
    <w:rsid w:val="00800355"/>
    <w:rsid w:val="00800D34"/>
    <w:rsid w:val="00803105"/>
    <w:rsid w:val="008031F8"/>
    <w:rsid w:val="00803604"/>
    <w:rsid w:val="00804285"/>
    <w:rsid w:val="00806426"/>
    <w:rsid w:val="0080701D"/>
    <w:rsid w:val="0080707F"/>
    <w:rsid w:val="008078EC"/>
    <w:rsid w:val="00810F77"/>
    <w:rsid w:val="00811DA2"/>
    <w:rsid w:val="00812205"/>
    <w:rsid w:val="00812E01"/>
    <w:rsid w:val="00813F69"/>
    <w:rsid w:val="0081426B"/>
    <w:rsid w:val="0081499B"/>
    <w:rsid w:val="00817130"/>
    <w:rsid w:val="00820D42"/>
    <w:rsid w:val="00820E48"/>
    <w:rsid w:val="00821007"/>
    <w:rsid w:val="00821588"/>
    <w:rsid w:val="008217FE"/>
    <w:rsid w:val="00823138"/>
    <w:rsid w:val="0082453C"/>
    <w:rsid w:val="0082467E"/>
    <w:rsid w:val="00824927"/>
    <w:rsid w:val="0082567E"/>
    <w:rsid w:val="008259D2"/>
    <w:rsid w:val="00831A98"/>
    <w:rsid w:val="00833120"/>
    <w:rsid w:val="0083648D"/>
    <w:rsid w:val="00837E00"/>
    <w:rsid w:val="0084298F"/>
    <w:rsid w:val="00842F17"/>
    <w:rsid w:val="008449FE"/>
    <w:rsid w:val="008465BC"/>
    <w:rsid w:val="00846698"/>
    <w:rsid w:val="00846724"/>
    <w:rsid w:val="00846799"/>
    <w:rsid w:val="00846A90"/>
    <w:rsid w:val="00847981"/>
    <w:rsid w:val="00847A74"/>
    <w:rsid w:val="00850A62"/>
    <w:rsid w:val="00850EA2"/>
    <w:rsid w:val="008523A1"/>
    <w:rsid w:val="008523DD"/>
    <w:rsid w:val="00852A7F"/>
    <w:rsid w:val="008564AD"/>
    <w:rsid w:val="00856F92"/>
    <w:rsid w:val="00857B03"/>
    <w:rsid w:val="00860C12"/>
    <w:rsid w:val="00867940"/>
    <w:rsid w:val="008679C2"/>
    <w:rsid w:val="00870529"/>
    <w:rsid w:val="008710FC"/>
    <w:rsid w:val="0087128F"/>
    <w:rsid w:val="00872FD4"/>
    <w:rsid w:val="00873681"/>
    <w:rsid w:val="00874597"/>
    <w:rsid w:val="00874F3A"/>
    <w:rsid w:val="00875EBA"/>
    <w:rsid w:val="0087635D"/>
    <w:rsid w:val="00876986"/>
    <w:rsid w:val="00876C0A"/>
    <w:rsid w:val="008775BE"/>
    <w:rsid w:val="00877F1B"/>
    <w:rsid w:val="00880455"/>
    <w:rsid w:val="00881067"/>
    <w:rsid w:val="00882626"/>
    <w:rsid w:val="008850AC"/>
    <w:rsid w:val="008867EA"/>
    <w:rsid w:val="0088681E"/>
    <w:rsid w:val="008870CE"/>
    <w:rsid w:val="00891152"/>
    <w:rsid w:val="008938DB"/>
    <w:rsid w:val="008942CC"/>
    <w:rsid w:val="00894431"/>
    <w:rsid w:val="00894592"/>
    <w:rsid w:val="0089520A"/>
    <w:rsid w:val="008952A0"/>
    <w:rsid w:val="00896247"/>
    <w:rsid w:val="008A0396"/>
    <w:rsid w:val="008A0704"/>
    <w:rsid w:val="008A093F"/>
    <w:rsid w:val="008A0AAF"/>
    <w:rsid w:val="008A1241"/>
    <w:rsid w:val="008A1DB1"/>
    <w:rsid w:val="008A1DC6"/>
    <w:rsid w:val="008A1E99"/>
    <w:rsid w:val="008A294F"/>
    <w:rsid w:val="008A4140"/>
    <w:rsid w:val="008A5136"/>
    <w:rsid w:val="008A52EE"/>
    <w:rsid w:val="008A54C8"/>
    <w:rsid w:val="008A6AD5"/>
    <w:rsid w:val="008A6BBC"/>
    <w:rsid w:val="008A746F"/>
    <w:rsid w:val="008A7CD0"/>
    <w:rsid w:val="008B1C44"/>
    <w:rsid w:val="008B1CFB"/>
    <w:rsid w:val="008B3F04"/>
    <w:rsid w:val="008B47BF"/>
    <w:rsid w:val="008B4875"/>
    <w:rsid w:val="008B5160"/>
    <w:rsid w:val="008C0095"/>
    <w:rsid w:val="008C063C"/>
    <w:rsid w:val="008C0D14"/>
    <w:rsid w:val="008C16AD"/>
    <w:rsid w:val="008C1D7E"/>
    <w:rsid w:val="008C486B"/>
    <w:rsid w:val="008C5CBF"/>
    <w:rsid w:val="008C60BB"/>
    <w:rsid w:val="008C62A9"/>
    <w:rsid w:val="008D0582"/>
    <w:rsid w:val="008D0C9E"/>
    <w:rsid w:val="008D0F0A"/>
    <w:rsid w:val="008D222F"/>
    <w:rsid w:val="008D2D81"/>
    <w:rsid w:val="008D3688"/>
    <w:rsid w:val="008D58B9"/>
    <w:rsid w:val="008D5DEF"/>
    <w:rsid w:val="008D6B90"/>
    <w:rsid w:val="008D6F3D"/>
    <w:rsid w:val="008E0564"/>
    <w:rsid w:val="008E0FEC"/>
    <w:rsid w:val="008E1677"/>
    <w:rsid w:val="008E42B2"/>
    <w:rsid w:val="008E5D01"/>
    <w:rsid w:val="008E6916"/>
    <w:rsid w:val="008E7DA2"/>
    <w:rsid w:val="008F05D2"/>
    <w:rsid w:val="008F0950"/>
    <w:rsid w:val="008F18FF"/>
    <w:rsid w:val="008F1D56"/>
    <w:rsid w:val="008F1D6E"/>
    <w:rsid w:val="008F1DA2"/>
    <w:rsid w:val="008F26A5"/>
    <w:rsid w:val="008F3426"/>
    <w:rsid w:val="008F3607"/>
    <w:rsid w:val="008F4328"/>
    <w:rsid w:val="008F48A0"/>
    <w:rsid w:val="008F4B82"/>
    <w:rsid w:val="008F54C2"/>
    <w:rsid w:val="008F57FE"/>
    <w:rsid w:val="008F7261"/>
    <w:rsid w:val="008F7711"/>
    <w:rsid w:val="0090041D"/>
    <w:rsid w:val="00901D4D"/>
    <w:rsid w:val="00902FF1"/>
    <w:rsid w:val="00903270"/>
    <w:rsid w:val="00903355"/>
    <w:rsid w:val="00903A50"/>
    <w:rsid w:val="00904ECB"/>
    <w:rsid w:val="00905B25"/>
    <w:rsid w:val="00905B97"/>
    <w:rsid w:val="00907C28"/>
    <w:rsid w:val="00907F47"/>
    <w:rsid w:val="00910465"/>
    <w:rsid w:val="009109D0"/>
    <w:rsid w:val="00911957"/>
    <w:rsid w:val="00912136"/>
    <w:rsid w:val="0091262F"/>
    <w:rsid w:val="00913058"/>
    <w:rsid w:val="00913799"/>
    <w:rsid w:val="00914A9D"/>
    <w:rsid w:val="00914AFC"/>
    <w:rsid w:val="009150D3"/>
    <w:rsid w:val="00915141"/>
    <w:rsid w:val="00915912"/>
    <w:rsid w:val="00917314"/>
    <w:rsid w:val="009177B7"/>
    <w:rsid w:val="00920C46"/>
    <w:rsid w:val="00925058"/>
    <w:rsid w:val="009257D5"/>
    <w:rsid w:val="00927438"/>
    <w:rsid w:val="00927494"/>
    <w:rsid w:val="0092785B"/>
    <w:rsid w:val="00930638"/>
    <w:rsid w:val="00930F07"/>
    <w:rsid w:val="00932224"/>
    <w:rsid w:val="00932C98"/>
    <w:rsid w:val="009330BD"/>
    <w:rsid w:val="00933365"/>
    <w:rsid w:val="00933DA4"/>
    <w:rsid w:val="00935009"/>
    <w:rsid w:val="009358F2"/>
    <w:rsid w:val="009363B1"/>
    <w:rsid w:val="00941714"/>
    <w:rsid w:val="0094184E"/>
    <w:rsid w:val="00941ECD"/>
    <w:rsid w:val="00942455"/>
    <w:rsid w:val="00942DB7"/>
    <w:rsid w:val="009430D7"/>
    <w:rsid w:val="0094384E"/>
    <w:rsid w:val="009462BB"/>
    <w:rsid w:val="0095030C"/>
    <w:rsid w:val="00952340"/>
    <w:rsid w:val="00952D69"/>
    <w:rsid w:val="00953003"/>
    <w:rsid w:val="00954D46"/>
    <w:rsid w:val="00955690"/>
    <w:rsid w:val="00956259"/>
    <w:rsid w:val="0096224C"/>
    <w:rsid w:val="00964A8E"/>
    <w:rsid w:val="009663FD"/>
    <w:rsid w:val="0096663C"/>
    <w:rsid w:val="009676E2"/>
    <w:rsid w:val="00967A84"/>
    <w:rsid w:val="009709C6"/>
    <w:rsid w:val="00971506"/>
    <w:rsid w:val="00972233"/>
    <w:rsid w:val="0097379C"/>
    <w:rsid w:val="00974986"/>
    <w:rsid w:val="009758F1"/>
    <w:rsid w:val="00975E98"/>
    <w:rsid w:val="00977340"/>
    <w:rsid w:val="0097735A"/>
    <w:rsid w:val="009802A2"/>
    <w:rsid w:val="00981813"/>
    <w:rsid w:val="009820F9"/>
    <w:rsid w:val="00985657"/>
    <w:rsid w:val="0098726C"/>
    <w:rsid w:val="00987771"/>
    <w:rsid w:val="00987C74"/>
    <w:rsid w:val="00992351"/>
    <w:rsid w:val="00992AAF"/>
    <w:rsid w:val="009935BD"/>
    <w:rsid w:val="00993720"/>
    <w:rsid w:val="00993A4C"/>
    <w:rsid w:val="00993AF2"/>
    <w:rsid w:val="00994EB0"/>
    <w:rsid w:val="0099642A"/>
    <w:rsid w:val="0099727F"/>
    <w:rsid w:val="00997CE2"/>
    <w:rsid w:val="009A059F"/>
    <w:rsid w:val="009A0B0F"/>
    <w:rsid w:val="009A0D87"/>
    <w:rsid w:val="009A0E11"/>
    <w:rsid w:val="009A120D"/>
    <w:rsid w:val="009A1AA2"/>
    <w:rsid w:val="009A20CE"/>
    <w:rsid w:val="009A278F"/>
    <w:rsid w:val="009A4B2E"/>
    <w:rsid w:val="009A5A8D"/>
    <w:rsid w:val="009A5EC7"/>
    <w:rsid w:val="009A5FF3"/>
    <w:rsid w:val="009B190B"/>
    <w:rsid w:val="009B2B74"/>
    <w:rsid w:val="009B30D5"/>
    <w:rsid w:val="009B32E7"/>
    <w:rsid w:val="009B43BD"/>
    <w:rsid w:val="009B58DE"/>
    <w:rsid w:val="009B6299"/>
    <w:rsid w:val="009B748C"/>
    <w:rsid w:val="009C00C0"/>
    <w:rsid w:val="009C0D91"/>
    <w:rsid w:val="009C3422"/>
    <w:rsid w:val="009C3F2C"/>
    <w:rsid w:val="009C4215"/>
    <w:rsid w:val="009C5293"/>
    <w:rsid w:val="009C67DC"/>
    <w:rsid w:val="009D0196"/>
    <w:rsid w:val="009D01CD"/>
    <w:rsid w:val="009D1299"/>
    <w:rsid w:val="009D15F4"/>
    <w:rsid w:val="009D3ABC"/>
    <w:rsid w:val="009D3DCE"/>
    <w:rsid w:val="009D56B7"/>
    <w:rsid w:val="009D59A7"/>
    <w:rsid w:val="009D6279"/>
    <w:rsid w:val="009D697D"/>
    <w:rsid w:val="009E0426"/>
    <w:rsid w:val="009E070B"/>
    <w:rsid w:val="009E1F26"/>
    <w:rsid w:val="009E283E"/>
    <w:rsid w:val="009E395C"/>
    <w:rsid w:val="009E5104"/>
    <w:rsid w:val="009E5DC7"/>
    <w:rsid w:val="009E7470"/>
    <w:rsid w:val="009E78A2"/>
    <w:rsid w:val="009E7BEB"/>
    <w:rsid w:val="009F14C8"/>
    <w:rsid w:val="009F1C26"/>
    <w:rsid w:val="009F41B6"/>
    <w:rsid w:val="009F44FD"/>
    <w:rsid w:val="009F5165"/>
    <w:rsid w:val="009F56FD"/>
    <w:rsid w:val="009F5AE2"/>
    <w:rsid w:val="009F79E8"/>
    <w:rsid w:val="009F7F1F"/>
    <w:rsid w:val="00A00727"/>
    <w:rsid w:val="00A00770"/>
    <w:rsid w:val="00A024F8"/>
    <w:rsid w:val="00A038B4"/>
    <w:rsid w:val="00A05E34"/>
    <w:rsid w:val="00A062F9"/>
    <w:rsid w:val="00A06A26"/>
    <w:rsid w:val="00A078C4"/>
    <w:rsid w:val="00A10525"/>
    <w:rsid w:val="00A1088A"/>
    <w:rsid w:val="00A10B5E"/>
    <w:rsid w:val="00A1124D"/>
    <w:rsid w:val="00A1125A"/>
    <w:rsid w:val="00A11427"/>
    <w:rsid w:val="00A12D41"/>
    <w:rsid w:val="00A14C2E"/>
    <w:rsid w:val="00A15334"/>
    <w:rsid w:val="00A1538B"/>
    <w:rsid w:val="00A15E8F"/>
    <w:rsid w:val="00A16F22"/>
    <w:rsid w:val="00A20107"/>
    <w:rsid w:val="00A20F5A"/>
    <w:rsid w:val="00A214A5"/>
    <w:rsid w:val="00A2222E"/>
    <w:rsid w:val="00A22F7F"/>
    <w:rsid w:val="00A23034"/>
    <w:rsid w:val="00A236C2"/>
    <w:rsid w:val="00A23FB9"/>
    <w:rsid w:val="00A244CD"/>
    <w:rsid w:val="00A249F2"/>
    <w:rsid w:val="00A24D92"/>
    <w:rsid w:val="00A3070A"/>
    <w:rsid w:val="00A3135A"/>
    <w:rsid w:val="00A32B0F"/>
    <w:rsid w:val="00A32ED4"/>
    <w:rsid w:val="00A33A4A"/>
    <w:rsid w:val="00A347F5"/>
    <w:rsid w:val="00A35E0E"/>
    <w:rsid w:val="00A35EBD"/>
    <w:rsid w:val="00A367F2"/>
    <w:rsid w:val="00A36949"/>
    <w:rsid w:val="00A36FF8"/>
    <w:rsid w:val="00A409CE"/>
    <w:rsid w:val="00A415C8"/>
    <w:rsid w:val="00A41DE3"/>
    <w:rsid w:val="00A42402"/>
    <w:rsid w:val="00A4465C"/>
    <w:rsid w:val="00A447E0"/>
    <w:rsid w:val="00A4588A"/>
    <w:rsid w:val="00A46B57"/>
    <w:rsid w:val="00A51EE9"/>
    <w:rsid w:val="00A55739"/>
    <w:rsid w:val="00A558DE"/>
    <w:rsid w:val="00A57604"/>
    <w:rsid w:val="00A62B80"/>
    <w:rsid w:val="00A63657"/>
    <w:rsid w:val="00A642C3"/>
    <w:rsid w:val="00A67E28"/>
    <w:rsid w:val="00A7021B"/>
    <w:rsid w:val="00A7152E"/>
    <w:rsid w:val="00A72877"/>
    <w:rsid w:val="00A73163"/>
    <w:rsid w:val="00A73383"/>
    <w:rsid w:val="00A73651"/>
    <w:rsid w:val="00A75125"/>
    <w:rsid w:val="00A7536B"/>
    <w:rsid w:val="00A7729B"/>
    <w:rsid w:val="00A809F7"/>
    <w:rsid w:val="00A8170E"/>
    <w:rsid w:val="00A828EB"/>
    <w:rsid w:val="00A83DE9"/>
    <w:rsid w:val="00A849E5"/>
    <w:rsid w:val="00A85159"/>
    <w:rsid w:val="00A866A6"/>
    <w:rsid w:val="00A86997"/>
    <w:rsid w:val="00A86FD1"/>
    <w:rsid w:val="00A901BB"/>
    <w:rsid w:val="00A91658"/>
    <w:rsid w:val="00A922F4"/>
    <w:rsid w:val="00A934B9"/>
    <w:rsid w:val="00A94CF5"/>
    <w:rsid w:val="00A957C8"/>
    <w:rsid w:val="00A963B2"/>
    <w:rsid w:val="00A9775F"/>
    <w:rsid w:val="00AA0073"/>
    <w:rsid w:val="00AA0A54"/>
    <w:rsid w:val="00AA13F0"/>
    <w:rsid w:val="00AA1D02"/>
    <w:rsid w:val="00AA2564"/>
    <w:rsid w:val="00AA457F"/>
    <w:rsid w:val="00AA57B2"/>
    <w:rsid w:val="00AA75B6"/>
    <w:rsid w:val="00AA762E"/>
    <w:rsid w:val="00AA76EF"/>
    <w:rsid w:val="00AA7BBA"/>
    <w:rsid w:val="00AB1CCA"/>
    <w:rsid w:val="00AB59E4"/>
    <w:rsid w:val="00AB6DF4"/>
    <w:rsid w:val="00AB7259"/>
    <w:rsid w:val="00AC03E1"/>
    <w:rsid w:val="00AC04CD"/>
    <w:rsid w:val="00AC22ED"/>
    <w:rsid w:val="00AC2794"/>
    <w:rsid w:val="00AC3374"/>
    <w:rsid w:val="00AC540B"/>
    <w:rsid w:val="00AC5827"/>
    <w:rsid w:val="00AC6D02"/>
    <w:rsid w:val="00AC6FF4"/>
    <w:rsid w:val="00AC76AC"/>
    <w:rsid w:val="00AD0662"/>
    <w:rsid w:val="00AD1CAD"/>
    <w:rsid w:val="00AD212F"/>
    <w:rsid w:val="00AD2433"/>
    <w:rsid w:val="00AD32C5"/>
    <w:rsid w:val="00AD4334"/>
    <w:rsid w:val="00AD7C15"/>
    <w:rsid w:val="00AE02E6"/>
    <w:rsid w:val="00AE0393"/>
    <w:rsid w:val="00AE0793"/>
    <w:rsid w:val="00AE391B"/>
    <w:rsid w:val="00AE3F39"/>
    <w:rsid w:val="00AE4CEE"/>
    <w:rsid w:val="00AE5DD6"/>
    <w:rsid w:val="00AE63E7"/>
    <w:rsid w:val="00AE65A3"/>
    <w:rsid w:val="00AE7454"/>
    <w:rsid w:val="00AF0595"/>
    <w:rsid w:val="00AF08B7"/>
    <w:rsid w:val="00AF3CA0"/>
    <w:rsid w:val="00AF476D"/>
    <w:rsid w:val="00AF6594"/>
    <w:rsid w:val="00AF68CE"/>
    <w:rsid w:val="00AF794C"/>
    <w:rsid w:val="00B01DF5"/>
    <w:rsid w:val="00B02537"/>
    <w:rsid w:val="00B05A19"/>
    <w:rsid w:val="00B05C5D"/>
    <w:rsid w:val="00B06B9A"/>
    <w:rsid w:val="00B07FD7"/>
    <w:rsid w:val="00B10562"/>
    <w:rsid w:val="00B122AC"/>
    <w:rsid w:val="00B12850"/>
    <w:rsid w:val="00B13249"/>
    <w:rsid w:val="00B135C1"/>
    <w:rsid w:val="00B14AC3"/>
    <w:rsid w:val="00B1533E"/>
    <w:rsid w:val="00B16AF4"/>
    <w:rsid w:val="00B17A0B"/>
    <w:rsid w:val="00B17B85"/>
    <w:rsid w:val="00B2120D"/>
    <w:rsid w:val="00B22E46"/>
    <w:rsid w:val="00B230E2"/>
    <w:rsid w:val="00B233CC"/>
    <w:rsid w:val="00B23689"/>
    <w:rsid w:val="00B24994"/>
    <w:rsid w:val="00B24A5A"/>
    <w:rsid w:val="00B24AB8"/>
    <w:rsid w:val="00B24D0B"/>
    <w:rsid w:val="00B27C59"/>
    <w:rsid w:val="00B30904"/>
    <w:rsid w:val="00B318FB"/>
    <w:rsid w:val="00B31B89"/>
    <w:rsid w:val="00B31C7C"/>
    <w:rsid w:val="00B31C9C"/>
    <w:rsid w:val="00B320B1"/>
    <w:rsid w:val="00B32169"/>
    <w:rsid w:val="00B32573"/>
    <w:rsid w:val="00B33B2D"/>
    <w:rsid w:val="00B35237"/>
    <w:rsid w:val="00B37C3D"/>
    <w:rsid w:val="00B408AF"/>
    <w:rsid w:val="00B4120D"/>
    <w:rsid w:val="00B41D0A"/>
    <w:rsid w:val="00B41E01"/>
    <w:rsid w:val="00B4226D"/>
    <w:rsid w:val="00B43505"/>
    <w:rsid w:val="00B4437C"/>
    <w:rsid w:val="00B44ECA"/>
    <w:rsid w:val="00B4676A"/>
    <w:rsid w:val="00B4687C"/>
    <w:rsid w:val="00B52051"/>
    <w:rsid w:val="00B52A8B"/>
    <w:rsid w:val="00B53137"/>
    <w:rsid w:val="00B537C5"/>
    <w:rsid w:val="00B53B77"/>
    <w:rsid w:val="00B55BA6"/>
    <w:rsid w:val="00B55F3E"/>
    <w:rsid w:val="00B57181"/>
    <w:rsid w:val="00B571B5"/>
    <w:rsid w:val="00B57C42"/>
    <w:rsid w:val="00B57D70"/>
    <w:rsid w:val="00B610DD"/>
    <w:rsid w:val="00B6211E"/>
    <w:rsid w:val="00B62151"/>
    <w:rsid w:val="00B62826"/>
    <w:rsid w:val="00B62EA3"/>
    <w:rsid w:val="00B63377"/>
    <w:rsid w:val="00B63737"/>
    <w:rsid w:val="00B63850"/>
    <w:rsid w:val="00B64BDC"/>
    <w:rsid w:val="00B64FAD"/>
    <w:rsid w:val="00B6523D"/>
    <w:rsid w:val="00B67F6E"/>
    <w:rsid w:val="00B7119E"/>
    <w:rsid w:val="00B71210"/>
    <w:rsid w:val="00B722DB"/>
    <w:rsid w:val="00B729CE"/>
    <w:rsid w:val="00B7404B"/>
    <w:rsid w:val="00B75634"/>
    <w:rsid w:val="00B77E85"/>
    <w:rsid w:val="00B826A6"/>
    <w:rsid w:val="00B83BB3"/>
    <w:rsid w:val="00B85793"/>
    <w:rsid w:val="00B85EFF"/>
    <w:rsid w:val="00B91CC8"/>
    <w:rsid w:val="00B92F39"/>
    <w:rsid w:val="00B94585"/>
    <w:rsid w:val="00B9480D"/>
    <w:rsid w:val="00B964C4"/>
    <w:rsid w:val="00BA0466"/>
    <w:rsid w:val="00BA17C3"/>
    <w:rsid w:val="00BA290D"/>
    <w:rsid w:val="00BA7CE1"/>
    <w:rsid w:val="00BB10AD"/>
    <w:rsid w:val="00BB22C4"/>
    <w:rsid w:val="00BB3039"/>
    <w:rsid w:val="00BB3FBF"/>
    <w:rsid w:val="00BB4927"/>
    <w:rsid w:val="00BB5857"/>
    <w:rsid w:val="00BC046C"/>
    <w:rsid w:val="00BC1969"/>
    <w:rsid w:val="00BC3EDD"/>
    <w:rsid w:val="00BC4610"/>
    <w:rsid w:val="00BC4C57"/>
    <w:rsid w:val="00BC57CE"/>
    <w:rsid w:val="00BC6154"/>
    <w:rsid w:val="00BC755E"/>
    <w:rsid w:val="00BC7B9C"/>
    <w:rsid w:val="00BD0463"/>
    <w:rsid w:val="00BD106D"/>
    <w:rsid w:val="00BD27CE"/>
    <w:rsid w:val="00BD2A55"/>
    <w:rsid w:val="00BD3BC4"/>
    <w:rsid w:val="00BD4398"/>
    <w:rsid w:val="00BD56AC"/>
    <w:rsid w:val="00BD5B0E"/>
    <w:rsid w:val="00BD5FC3"/>
    <w:rsid w:val="00BD6990"/>
    <w:rsid w:val="00BE08D9"/>
    <w:rsid w:val="00BE1386"/>
    <w:rsid w:val="00BE1E51"/>
    <w:rsid w:val="00BE24A1"/>
    <w:rsid w:val="00BE3D68"/>
    <w:rsid w:val="00BE4A33"/>
    <w:rsid w:val="00BE5FBE"/>
    <w:rsid w:val="00BE6445"/>
    <w:rsid w:val="00BF000D"/>
    <w:rsid w:val="00BF1E6D"/>
    <w:rsid w:val="00BF2E8E"/>
    <w:rsid w:val="00C00760"/>
    <w:rsid w:val="00C00C54"/>
    <w:rsid w:val="00C0316E"/>
    <w:rsid w:val="00C0346B"/>
    <w:rsid w:val="00C04C64"/>
    <w:rsid w:val="00C04D05"/>
    <w:rsid w:val="00C04F12"/>
    <w:rsid w:val="00C0531E"/>
    <w:rsid w:val="00C06121"/>
    <w:rsid w:val="00C066C7"/>
    <w:rsid w:val="00C06DB2"/>
    <w:rsid w:val="00C10ACF"/>
    <w:rsid w:val="00C10EB7"/>
    <w:rsid w:val="00C12103"/>
    <w:rsid w:val="00C141D7"/>
    <w:rsid w:val="00C15E59"/>
    <w:rsid w:val="00C17013"/>
    <w:rsid w:val="00C17863"/>
    <w:rsid w:val="00C17B3F"/>
    <w:rsid w:val="00C203B0"/>
    <w:rsid w:val="00C20BE2"/>
    <w:rsid w:val="00C21625"/>
    <w:rsid w:val="00C22570"/>
    <w:rsid w:val="00C23AC0"/>
    <w:rsid w:val="00C2564C"/>
    <w:rsid w:val="00C256C3"/>
    <w:rsid w:val="00C2704D"/>
    <w:rsid w:val="00C279A6"/>
    <w:rsid w:val="00C27D6C"/>
    <w:rsid w:val="00C30194"/>
    <w:rsid w:val="00C30DFC"/>
    <w:rsid w:val="00C31306"/>
    <w:rsid w:val="00C3198F"/>
    <w:rsid w:val="00C3228E"/>
    <w:rsid w:val="00C33C6F"/>
    <w:rsid w:val="00C346D4"/>
    <w:rsid w:val="00C34AC2"/>
    <w:rsid w:val="00C34D42"/>
    <w:rsid w:val="00C35827"/>
    <w:rsid w:val="00C37973"/>
    <w:rsid w:val="00C4266D"/>
    <w:rsid w:val="00C4275C"/>
    <w:rsid w:val="00C432EC"/>
    <w:rsid w:val="00C44083"/>
    <w:rsid w:val="00C45B87"/>
    <w:rsid w:val="00C4642A"/>
    <w:rsid w:val="00C4668B"/>
    <w:rsid w:val="00C47287"/>
    <w:rsid w:val="00C50021"/>
    <w:rsid w:val="00C53465"/>
    <w:rsid w:val="00C53D43"/>
    <w:rsid w:val="00C549D9"/>
    <w:rsid w:val="00C55EE8"/>
    <w:rsid w:val="00C56517"/>
    <w:rsid w:val="00C567F5"/>
    <w:rsid w:val="00C57662"/>
    <w:rsid w:val="00C57A7D"/>
    <w:rsid w:val="00C60573"/>
    <w:rsid w:val="00C60BB9"/>
    <w:rsid w:val="00C614CD"/>
    <w:rsid w:val="00C62685"/>
    <w:rsid w:val="00C63574"/>
    <w:rsid w:val="00C7036D"/>
    <w:rsid w:val="00C704C7"/>
    <w:rsid w:val="00C72587"/>
    <w:rsid w:val="00C72E5E"/>
    <w:rsid w:val="00C7392A"/>
    <w:rsid w:val="00C7394F"/>
    <w:rsid w:val="00C740D8"/>
    <w:rsid w:val="00C7430D"/>
    <w:rsid w:val="00C74E4B"/>
    <w:rsid w:val="00C762FE"/>
    <w:rsid w:val="00C7729D"/>
    <w:rsid w:val="00C77355"/>
    <w:rsid w:val="00C774A0"/>
    <w:rsid w:val="00C80CB1"/>
    <w:rsid w:val="00C8371C"/>
    <w:rsid w:val="00C877F0"/>
    <w:rsid w:val="00C87EBE"/>
    <w:rsid w:val="00C90051"/>
    <w:rsid w:val="00C90315"/>
    <w:rsid w:val="00C915C8"/>
    <w:rsid w:val="00C931B7"/>
    <w:rsid w:val="00C94FDB"/>
    <w:rsid w:val="00C95377"/>
    <w:rsid w:val="00C95AEE"/>
    <w:rsid w:val="00C96F0F"/>
    <w:rsid w:val="00CA0818"/>
    <w:rsid w:val="00CA1AC1"/>
    <w:rsid w:val="00CA23AA"/>
    <w:rsid w:val="00CA57B7"/>
    <w:rsid w:val="00CA59B5"/>
    <w:rsid w:val="00CA62C4"/>
    <w:rsid w:val="00CA77F6"/>
    <w:rsid w:val="00CA7FDC"/>
    <w:rsid w:val="00CB0620"/>
    <w:rsid w:val="00CB1E30"/>
    <w:rsid w:val="00CB2384"/>
    <w:rsid w:val="00CB2D1A"/>
    <w:rsid w:val="00CB31E4"/>
    <w:rsid w:val="00CB6050"/>
    <w:rsid w:val="00CB62EB"/>
    <w:rsid w:val="00CB7665"/>
    <w:rsid w:val="00CC25A2"/>
    <w:rsid w:val="00CC3607"/>
    <w:rsid w:val="00CC38E7"/>
    <w:rsid w:val="00CC3B4C"/>
    <w:rsid w:val="00CC6342"/>
    <w:rsid w:val="00CD1CD8"/>
    <w:rsid w:val="00CD2488"/>
    <w:rsid w:val="00CD6670"/>
    <w:rsid w:val="00CD677F"/>
    <w:rsid w:val="00CD70C6"/>
    <w:rsid w:val="00CE0181"/>
    <w:rsid w:val="00CE049C"/>
    <w:rsid w:val="00CE08F5"/>
    <w:rsid w:val="00CE1182"/>
    <w:rsid w:val="00CE11C6"/>
    <w:rsid w:val="00CE7124"/>
    <w:rsid w:val="00CF465B"/>
    <w:rsid w:val="00CF505C"/>
    <w:rsid w:val="00CF53E4"/>
    <w:rsid w:val="00CF6974"/>
    <w:rsid w:val="00CF79B4"/>
    <w:rsid w:val="00D007C5"/>
    <w:rsid w:val="00D01C07"/>
    <w:rsid w:val="00D01FE0"/>
    <w:rsid w:val="00D02305"/>
    <w:rsid w:val="00D031E1"/>
    <w:rsid w:val="00D066C0"/>
    <w:rsid w:val="00D06873"/>
    <w:rsid w:val="00D07428"/>
    <w:rsid w:val="00D118DE"/>
    <w:rsid w:val="00D12B59"/>
    <w:rsid w:val="00D13AFD"/>
    <w:rsid w:val="00D1644F"/>
    <w:rsid w:val="00D16A83"/>
    <w:rsid w:val="00D2068C"/>
    <w:rsid w:val="00D21049"/>
    <w:rsid w:val="00D21DC7"/>
    <w:rsid w:val="00D22E1D"/>
    <w:rsid w:val="00D23409"/>
    <w:rsid w:val="00D24D34"/>
    <w:rsid w:val="00D2624B"/>
    <w:rsid w:val="00D27AA6"/>
    <w:rsid w:val="00D30FE0"/>
    <w:rsid w:val="00D31C1F"/>
    <w:rsid w:val="00D326C1"/>
    <w:rsid w:val="00D32BDB"/>
    <w:rsid w:val="00D3342B"/>
    <w:rsid w:val="00D35DD7"/>
    <w:rsid w:val="00D37A0E"/>
    <w:rsid w:val="00D40CD9"/>
    <w:rsid w:val="00D412EF"/>
    <w:rsid w:val="00D42450"/>
    <w:rsid w:val="00D4537B"/>
    <w:rsid w:val="00D45667"/>
    <w:rsid w:val="00D46A84"/>
    <w:rsid w:val="00D500EC"/>
    <w:rsid w:val="00D5215D"/>
    <w:rsid w:val="00D5441C"/>
    <w:rsid w:val="00D54AD9"/>
    <w:rsid w:val="00D55256"/>
    <w:rsid w:val="00D56223"/>
    <w:rsid w:val="00D56573"/>
    <w:rsid w:val="00D56973"/>
    <w:rsid w:val="00D57071"/>
    <w:rsid w:val="00D57D73"/>
    <w:rsid w:val="00D607B1"/>
    <w:rsid w:val="00D65051"/>
    <w:rsid w:val="00D65132"/>
    <w:rsid w:val="00D65597"/>
    <w:rsid w:val="00D66676"/>
    <w:rsid w:val="00D6697D"/>
    <w:rsid w:val="00D674DE"/>
    <w:rsid w:val="00D7318C"/>
    <w:rsid w:val="00D742C3"/>
    <w:rsid w:val="00D74602"/>
    <w:rsid w:val="00D770AD"/>
    <w:rsid w:val="00D77797"/>
    <w:rsid w:val="00D87220"/>
    <w:rsid w:val="00D8789A"/>
    <w:rsid w:val="00D906B9"/>
    <w:rsid w:val="00D90966"/>
    <w:rsid w:val="00D909E0"/>
    <w:rsid w:val="00D9154D"/>
    <w:rsid w:val="00D91B1D"/>
    <w:rsid w:val="00D91F88"/>
    <w:rsid w:val="00D9252B"/>
    <w:rsid w:val="00D93584"/>
    <w:rsid w:val="00D94369"/>
    <w:rsid w:val="00D95674"/>
    <w:rsid w:val="00D956F1"/>
    <w:rsid w:val="00D95D85"/>
    <w:rsid w:val="00D96C0E"/>
    <w:rsid w:val="00D9714B"/>
    <w:rsid w:val="00D97624"/>
    <w:rsid w:val="00DA27E6"/>
    <w:rsid w:val="00DA2874"/>
    <w:rsid w:val="00DA494B"/>
    <w:rsid w:val="00DA4D2E"/>
    <w:rsid w:val="00DA618E"/>
    <w:rsid w:val="00DA7573"/>
    <w:rsid w:val="00DB2133"/>
    <w:rsid w:val="00DB2CB5"/>
    <w:rsid w:val="00DB2D51"/>
    <w:rsid w:val="00DB3203"/>
    <w:rsid w:val="00DB3A67"/>
    <w:rsid w:val="00DB5AE9"/>
    <w:rsid w:val="00DC076D"/>
    <w:rsid w:val="00DC15F4"/>
    <w:rsid w:val="00DC19CA"/>
    <w:rsid w:val="00DC21DF"/>
    <w:rsid w:val="00DC28AA"/>
    <w:rsid w:val="00DC2D2E"/>
    <w:rsid w:val="00DC306B"/>
    <w:rsid w:val="00DC3835"/>
    <w:rsid w:val="00DC46DB"/>
    <w:rsid w:val="00DC5CE7"/>
    <w:rsid w:val="00DC6C4A"/>
    <w:rsid w:val="00DC7BDF"/>
    <w:rsid w:val="00DD2331"/>
    <w:rsid w:val="00DD2D73"/>
    <w:rsid w:val="00DD31E6"/>
    <w:rsid w:val="00DD6B84"/>
    <w:rsid w:val="00DD755A"/>
    <w:rsid w:val="00DE2E43"/>
    <w:rsid w:val="00DE385A"/>
    <w:rsid w:val="00DE3E69"/>
    <w:rsid w:val="00DE4A2D"/>
    <w:rsid w:val="00DE4DAB"/>
    <w:rsid w:val="00DE798D"/>
    <w:rsid w:val="00DF1CB7"/>
    <w:rsid w:val="00DF274E"/>
    <w:rsid w:val="00DF27F1"/>
    <w:rsid w:val="00DF3073"/>
    <w:rsid w:val="00DF3363"/>
    <w:rsid w:val="00DF40C8"/>
    <w:rsid w:val="00DF52BC"/>
    <w:rsid w:val="00DF52DB"/>
    <w:rsid w:val="00DF61C0"/>
    <w:rsid w:val="00DF6B44"/>
    <w:rsid w:val="00DF7137"/>
    <w:rsid w:val="00DF790E"/>
    <w:rsid w:val="00DF7DAA"/>
    <w:rsid w:val="00E01106"/>
    <w:rsid w:val="00E011F2"/>
    <w:rsid w:val="00E01AC7"/>
    <w:rsid w:val="00E02313"/>
    <w:rsid w:val="00E031FF"/>
    <w:rsid w:val="00E03886"/>
    <w:rsid w:val="00E0415E"/>
    <w:rsid w:val="00E053F6"/>
    <w:rsid w:val="00E05A11"/>
    <w:rsid w:val="00E065E3"/>
    <w:rsid w:val="00E1166A"/>
    <w:rsid w:val="00E12F91"/>
    <w:rsid w:val="00E1380C"/>
    <w:rsid w:val="00E144D1"/>
    <w:rsid w:val="00E1518C"/>
    <w:rsid w:val="00E15930"/>
    <w:rsid w:val="00E15B07"/>
    <w:rsid w:val="00E165B8"/>
    <w:rsid w:val="00E212A2"/>
    <w:rsid w:val="00E225BC"/>
    <w:rsid w:val="00E2275D"/>
    <w:rsid w:val="00E22ED8"/>
    <w:rsid w:val="00E23EFB"/>
    <w:rsid w:val="00E24735"/>
    <w:rsid w:val="00E252B2"/>
    <w:rsid w:val="00E25AC7"/>
    <w:rsid w:val="00E25BEA"/>
    <w:rsid w:val="00E25CCB"/>
    <w:rsid w:val="00E26CF6"/>
    <w:rsid w:val="00E27CE0"/>
    <w:rsid w:val="00E30353"/>
    <w:rsid w:val="00E3086D"/>
    <w:rsid w:val="00E310D4"/>
    <w:rsid w:val="00E31643"/>
    <w:rsid w:val="00E318D0"/>
    <w:rsid w:val="00E31A71"/>
    <w:rsid w:val="00E31AC1"/>
    <w:rsid w:val="00E31D89"/>
    <w:rsid w:val="00E33F55"/>
    <w:rsid w:val="00E3490E"/>
    <w:rsid w:val="00E3605A"/>
    <w:rsid w:val="00E40A08"/>
    <w:rsid w:val="00E40F71"/>
    <w:rsid w:val="00E41B76"/>
    <w:rsid w:val="00E428CD"/>
    <w:rsid w:val="00E43408"/>
    <w:rsid w:val="00E45720"/>
    <w:rsid w:val="00E45792"/>
    <w:rsid w:val="00E45DD5"/>
    <w:rsid w:val="00E45FA4"/>
    <w:rsid w:val="00E469C7"/>
    <w:rsid w:val="00E52A17"/>
    <w:rsid w:val="00E539EE"/>
    <w:rsid w:val="00E540DA"/>
    <w:rsid w:val="00E56C04"/>
    <w:rsid w:val="00E57520"/>
    <w:rsid w:val="00E5765D"/>
    <w:rsid w:val="00E65109"/>
    <w:rsid w:val="00E65111"/>
    <w:rsid w:val="00E666DD"/>
    <w:rsid w:val="00E67328"/>
    <w:rsid w:val="00E706AD"/>
    <w:rsid w:val="00E70D8C"/>
    <w:rsid w:val="00E71D39"/>
    <w:rsid w:val="00E74B49"/>
    <w:rsid w:val="00E75949"/>
    <w:rsid w:val="00E75D2F"/>
    <w:rsid w:val="00E75E62"/>
    <w:rsid w:val="00E765F4"/>
    <w:rsid w:val="00E776DA"/>
    <w:rsid w:val="00E810E1"/>
    <w:rsid w:val="00E825C8"/>
    <w:rsid w:val="00E829E7"/>
    <w:rsid w:val="00E830CB"/>
    <w:rsid w:val="00E84BE2"/>
    <w:rsid w:val="00E86752"/>
    <w:rsid w:val="00E878B7"/>
    <w:rsid w:val="00E90AB7"/>
    <w:rsid w:val="00E91933"/>
    <w:rsid w:val="00E941A8"/>
    <w:rsid w:val="00E96563"/>
    <w:rsid w:val="00E970E9"/>
    <w:rsid w:val="00E9716D"/>
    <w:rsid w:val="00E971D8"/>
    <w:rsid w:val="00E973D2"/>
    <w:rsid w:val="00EA05A1"/>
    <w:rsid w:val="00EA2B56"/>
    <w:rsid w:val="00EA2C7B"/>
    <w:rsid w:val="00EA2DC6"/>
    <w:rsid w:val="00EA33F4"/>
    <w:rsid w:val="00EA3FB9"/>
    <w:rsid w:val="00EA548D"/>
    <w:rsid w:val="00EA5B67"/>
    <w:rsid w:val="00EA66D6"/>
    <w:rsid w:val="00EA727C"/>
    <w:rsid w:val="00EA7B1E"/>
    <w:rsid w:val="00EA7F9A"/>
    <w:rsid w:val="00EB2841"/>
    <w:rsid w:val="00EB457C"/>
    <w:rsid w:val="00EB5DB0"/>
    <w:rsid w:val="00EB6127"/>
    <w:rsid w:val="00EC07B8"/>
    <w:rsid w:val="00EC0F07"/>
    <w:rsid w:val="00EC12E7"/>
    <w:rsid w:val="00EC26DE"/>
    <w:rsid w:val="00EC2786"/>
    <w:rsid w:val="00EC350D"/>
    <w:rsid w:val="00EC4B91"/>
    <w:rsid w:val="00EC599B"/>
    <w:rsid w:val="00EC6B26"/>
    <w:rsid w:val="00EC7E60"/>
    <w:rsid w:val="00EC7E69"/>
    <w:rsid w:val="00EC7E8B"/>
    <w:rsid w:val="00ED4163"/>
    <w:rsid w:val="00ED5E80"/>
    <w:rsid w:val="00EE01C5"/>
    <w:rsid w:val="00EE0BEE"/>
    <w:rsid w:val="00EE0BFE"/>
    <w:rsid w:val="00EE1444"/>
    <w:rsid w:val="00EE3E7A"/>
    <w:rsid w:val="00EE5122"/>
    <w:rsid w:val="00EE53CB"/>
    <w:rsid w:val="00EE6DE5"/>
    <w:rsid w:val="00EF1BFA"/>
    <w:rsid w:val="00EF2770"/>
    <w:rsid w:val="00EF2938"/>
    <w:rsid w:val="00EF34AC"/>
    <w:rsid w:val="00EF4B52"/>
    <w:rsid w:val="00EF5F1B"/>
    <w:rsid w:val="00F00A5B"/>
    <w:rsid w:val="00F0269D"/>
    <w:rsid w:val="00F032AF"/>
    <w:rsid w:val="00F03796"/>
    <w:rsid w:val="00F04634"/>
    <w:rsid w:val="00F06DDA"/>
    <w:rsid w:val="00F070A7"/>
    <w:rsid w:val="00F076B5"/>
    <w:rsid w:val="00F10569"/>
    <w:rsid w:val="00F11D0C"/>
    <w:rsid w:val="00F11D68"/>
    <w:rsid w:val="00F125EB"/>
    <w:rsid w:val="00F12E17"/>
    <w:rsid w:val="00F137E0"/>
    <w:rsid w:val="00F1387B"/>
    <w:rsid w:val="00F147F1"/>
    <w:rsid w:val="00F15332"/>
    <w:rsid w:val="00F15973"/>
    <w:rsid w:val="00F160FA"/>
    <w:rsid w:val="00F168EB"/>
    <w:rsid w:val="00F173F3"/>
    <w:rsid w:val="00F17A37"/>
    <w:rsid w:val="00F17F75"/>
    <w:rsid w:val="00F20ADC"/>
    <w:rsid w:val="00F220BB"/>
    <w:rsid w:val="00F22D81"/>
    <w:rsid w:val="00F2351A"/>
    <w:rsid w:val="00F245BE"/>
    <w:rsid w:val="00F30B1D"/>
    <w:rsid w:val="00F318E2"/>
    <w:rsid w:val="00F3367C"/>
    <w:rsid w:val="00F33982"/>
    <w:rsid w:val="00F35022"/>
    <w:rsid w:val="00F35A44"/>
    <w:rsid w:val="00F35F02"/>
    <w:rsid w:val="00F3691F"/>
    <w:rsid w:val="00F36C15"/>
    <w:rsid w:val="00F37D79"/>
    <w:rsid w:val="00F4052D"/>
    <w:rsid w:val="00F41159"/>
    <w:rsid w:val="00F42333"/>
    <w:rsid w:val="00F42427"/>
    <w:rsid w:val="00F425C9"/>
    <w:rsid w:val="00F42B9E"/>
    <w:rsid w:val="00F47316"/>
    <w:rsid w:val="00F47DD3"/>
    <w:rsid w:val="00F50AA4"/>
    <w:rsid w:val="00F51410"/>
    <w:rsid w:val="00F5409B"/>
    <w:rsid w:val="00F54944"/>
    <w:rsid w:val="00F54BBD"/>
    <w:rsid w:val="00F54DEE"/>
    <w:rsid w:val="00F552C4"/>
    <w:rsid w:val="00F554EE"/>
    <w:rsid w:val="00F55648"/>
    <w:rsid w:val="00F563A1"/>
    <w:rsid w:val="00F57A1F"/>
    <w:rsid w:val="00F63366"/>
    <w:rsid w:val="00F64014"/>
    <w:rsid w:val="00F6406A"/>
    <w:rsid w:val="00F64237"/>
    <w:rsid w:val="00F65580"/>
    <w:rsid w:val="00F66CAD"/>
    <w:rsid w:val="00F70864"/>
    <w:rsid w:val="00F72005"/>
    <w:rsid w:val="00F73B4E"/>
    <w:rsid w:val="00F74313"/>
    <w:rsid w:val="00F75F1A"/>
    <w:rsid w:val="00F767E3"/>
    <w:rsid w:val="00F76B64"/>
    <w:rsid w:val="00F76E6D"/>
    <w:rsid w:val="00F778DF"/>
    <w:rsid w:val="00F80548"/>
    <w:rsid w:val="00F80B1F"/>
    <w:rsid w:val="00F8125B"/>
    <w:rsid w:val="00F81A79"/>
    <w:rsid w:val="00F81B7E"/>
    <w:rsid w:val="00F82844"/>
    <w:rsid w:val="00F85CBB"/>
    <w:rsid w:val="00F85D86"/>
    <w:rsid w:val="00F872F3"/>
    <w:rsid w:val="00F87CED"/>
    <w:rsid w:val="00F90420"/>
    <w:rsid w:val="00F9130C"/>
    <w:rsid w:val="00F91FB6"/>
    <w:rsid w:val="00F931D0"/>
    <w:rsid w:val="00F9392C"/>
    <w:rsid w:val="00F94356"/>
    <w:rsid w:val="00F94E98"/>
    <w:rsid w:val="00F95911"/>
    <w:rsid w:val="00F960CF"/>
    <w:rsid w:val="00F960F0"/>
    <w:rsid w:val="00FA000F"/>
    <w:rsid w:val="00FA06F4"/>
    <w:rsid w:val="00FA103E"/>
    <w:rsid w:val="00FA17A3"/>
    <w:rsid w:val="00FA1952"/>
    <w:rsid w:val="00FA28FB"/>
    <w:rsid w:val="00FA330D"/>
    <w:rsid w:val="00FA3BED"/>
    <w:rsid w:val="00FA4128"/>
    <w:rsid w:val="00FA4B3A"/>
    <w:rsid w:val="00FA6399"/>
    <w:rsid w:val="00FA6878"/>
    <w:rsid w:val="00FB1F25"/>
    <w:rsid w:val="00FB202A"/>
    <w:rsid w:val="00FB2BD4"/>
    <w:rsid w:val="00FB3A18"/>
    <w:rsid w:val="00FB4683"/>
    <w:rsid w:val="00FB4D76"/>
    <w:rsid w:val="00FB53C9"/>
    <w:rsid w:val="00FB575E"/>
    <w:rsid w:val="00FB5A73"/>
    <w:rsid w:val="00FB6B8E"/>
    <w:rsid w:val="00FB72F1"/>
    <w:rsid w:val="00FB7842"/>
    <w:rsid w:val="00FC046A"/>
    <w:rsid w:val="00FC11E2"/>
    <w:rsid w:val="00FC33BB"/>
    <w:rsid w:val="00FC357C"/>
    <w:rsid w:val="00FC4871"/>
    <w:rsid w:val="00FC752F"/>
    <w:rsid w:val="00FC7D24"/>
    <w:rsid w:val="00FC7D3A"/>
    <w:rsid w:val="00FD13FC"/>
    <w:rsid w:val="00FD384E"/>
    <w:rsid w:val="00FD3D5D"/>
    <w:rsid w:val="00FD4716"/>
    <w:rsid w:val="00FD56F3"/>
    <w:rsid w:val="00FD6DEB"/>
    <w:rsid w:val="00FE0473"/>
    <w:rsid w:val="00FE05D7"/>
    <w:rsid w:val="00FE09FB"/>
    <w:rsid w:val="00FE0F12"/>
    <w:rsid w:val="00FE162A"/>
    <w:rsid w:val="00FE2314"/>
    <w:rsid w:val="00FE31B4"/>
    <w:rsid w:val="00FE3606"/>
    <w:rsid w:val="00FE7359"/>
    <w:rsid w:val="00FE7472"/>
    <w:rsid w:val="00FE7670"/>
    <w:rsid w:val="00FE7F24"/>
    <w:rsid w:val="00FF0D58"/>
    <w:rsid w:val="00FF105C"/>
    <w:rsid w:val="00FF3570"/>
    <w:rsid w:val="00FF3751"/>
    <w:rsid w:val="00FF522A"/>
    <w:rsid w:val="00FF58BE"/>
    <w:rsid w:val="00FF5E0E"/>
    <w:rsid w:val="12511484"/>
    <w:rsid w:val="19AC4CF5"/>
    <w:rsid w:val="27F594F9"/>
    <w:rsid w:val="285CDCFA"/>
    <w:rsid w:val="3B56764F"/>
    <w:rsid w:val="3BAE98B9"/>
    <w:rsid w:val="4333ABB3"/>
    <w:rsid w:val="47E94DDF"/>
    <w:rsid w:val="506325F4"/>
    <w:rsid w:val="50F7B046"/>
    <w:rsid w:val="54718AB0"/>
    <w:rsid w:val="563C3371"/>
    <w:rsid w:val="6405A249"/>
    <w:rsid w:val="6792729A"/>
    <w:rsid w:val="68D553A8"/>
    <w:rsid w:val="70240495"/>
    <w:rsid w:val="71A71FEE"/>
    <w:rsid w:val="71F6B562"/>
    <w:rsid w:val="7C21ECD2"/>
    <w:rsid w:val="7C4581C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2"/>
    </o:shapelayout>
  </w:shapeDefaults>
  <w:decimalSymbol w:val="."/>
  <w:listSeparator w:val=","/>
  <w14:docId w14:val="2B95CBCC"/>
  <w15:chartTrackingRefBased/>
  <w15:docId w15:val="{92EAF6D7-7B8C-40D0-8BA2-ABE645378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lsdException w:name="caption" w:semiHidden="1" w:unhideWhenUsed="1" w:qFormat="1"/>
    <w:lsdException w:name="footnote reference" w:uiPriority="99"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0426"/>
    <w:rPr>
      <w:sz w:val="24"/>
      <w:lang w:val="fr"/>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jc w:val="both"/>
      <w:outlineLvl w:val="0"/>
    </w:pPr>
    <w:rPr>
      <w:rFonts w:ascii="Arial" w:hAnsi="Arial"/>
      <w:b/>
      <w:kern w:val="28"/>
      <w:sz w:val="28"/>
    </w:rPr>
  </w:style>
  <w:style w:type="paragraph" w:styleId="Heading2">
    <w:name w:val="heading 2"/>
    <w:basedOn w:val="Normal"/>
    <w:next w:val="Normal"/>
    <w:link w:val="Heading2Char"/>
    <w:qFormat/>
    <w:pPr>
      <w:keepNext/>
      <w:numPr>
        <w:ilvl w:val="1"/>
        <w:numId w:val="1"/>
      </w:numPr>
      <w:spacing w:before="240" w:after="60"/>
      <w:outlineLvl w:val="1"/>
    </w:pPr>
    <w:rPr>
      <w:rFonts w:ascii="Arial" w:hAnsi="Arial"/>
      <w:b/>
      <w:i/>
    </w:rPr>
  </w:style>
  <w:style w:type="paragraph" w:styleId="Heading3">
    <w:name w:val="heading 3"/>
    <w:basedOn w:val="Heading2"/>
    <w:next w:val="Normal"/>
    <w:link w:val="Heading3Char"/>
    <w:qFormat/>
    <w:pPr>
      <w:numPr>
        <w:ilvl w:val="2"/>
      </w:numPr>
      <w:outlineLvl w:val="2"/>
    </w:pPr>
    <w:rPr>
      <w:b w:val="0"/>
      <w:i w:val="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after="120"/>
    </w:pPr>
    <w:rPr>
      <w:b/>
      <w:caps/>
      <w:sz w:val="20"/>
    </w:rPr>
  </w:style>
  <w:style w:type="paragraph" w:styleId="TOC2">
    <w:name w:val="toc 2"/>
    <w:basedOn w:val="Normal"/>
    <w:next w:val="Normal"/>
    <w:autoRedefine/>
    <w:uiPriority w:val="39"/>
    <w:pPr>
      <w:tabs>
        <w:tab w:val="left" w:pos="720"/>
        <w:tab w:val="left" w:pos="960"/>
        <w:tab w:val="right" w:leader="dot" w:pos="8296"/>
      </w:tabs>
      <w:ind w:left="227"/>
    </w:pPr>
    <w:rPr>
      <w:smallCaps/>
      <w:sz w:val="20"/>
    </w:rPr>
  </w:style>
  <w:style w:type="paragraph" w:styleId="TOC3">
    <w:name w:val="toc 3"/>
    <w:basedOn w:val="Normal"/>
    <w:next w:val="Normal"/>
    <w:autoRedefine/>
    <w:uiPriority w:val="39"/>
    <w:pPr>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Header">
    <w:name w:val="header"/>
    <w:basedOn w:val="Normal"/>
    <w:pPr>
      <w:tabs>
        <w:tab w:val="center" w:pos="4153"/>
        <w:tab w:val="right" w:pos="8306"/>
      </w:tabs>
    </w:pPr>
  </w:style>
  <w:style w:type="paragraph" w:customStyle="1" w:styleId="Text1">
    <w:name w:val="Text 1"/>
    <w:basedOn w:val="Normal"/>
    <w:pPr>
      <w:spacing w:after="240"/>
      <w:ind w:left="482"/>
      <w:jc w:val="both"/>
    </w:pPr>
  </w:style>
  <w:style w:type="paragraph" w:customStyle="1" w:styleId="Text2">
    <w:name w:val="Text 2"/>
    <w:basedOn w:val="Normal"/>
    <w:pPr>
      <w:tabs>
        <w:tab w:val="left" w:pos="2161"/>
      </w:tabs>
      <w:spacing w:after="240"/>
      <w:ind w:left="1077"/>
      <w:jc w:val="both"/>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jc w:val="both"/>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jc w:val="both"/>
    </w:pPr>
    <w:rPr>
      <w:rFonts w:ascii="Arial" w:hAnsi="Arial"/>
      <w:snapToGrid w:val="0"/>
    </w:rPr>
  </w:style>
  <w:style w:type="paragraph" w:customStyle="1" w:styleId="ZDGName">
    <w:name w:val="Z_DGName"/>
    <w:basedOn w:val="Normal"/>
    <w:pPr>
      <w:widowControl w:val="0"/>
      <w:ind w:right="85"/>
      <w:jc w:val="both"/>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jc w:val="both"/>
    </w:pPr>
    <w:rPr>
      <w:sz w:val="22"/>
    </w:r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after="120"/>
      <w:ind w:left="851" w:hanging="851"/>
      <w:jc w:val="both"/>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pPr>
      <w:jc w:val="both"/>
    </w:pPr>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paragraph" w:styleId="TOCHeading">
    <w:name w:val="TOC Heading"/>
    <w:basedOn w:val="Heading1"/>
    <w:next w:val="Normal"/>
    <w:uiPriority w:val="39"/>
    <w:unhideWhenUsed/>
    <w:qFormat/>
    <w:rsid w:val="00325780"/>
    <w:pPr>
      <w:keepLines/>
      <w:numPr>
        <w:numId w:val="0"/>
      </w:numPr>
      <w:spacing w:before="480" w:line="276" w:lineRule="auto"/>
      <w:jc w:val="left"/>
      <w:outlineLvl w:val="9"/>
    </w:pPr>
    <w:rPr>
      <w:rFonts w:ascii="Cambria" w:eastAsia="MS Gothic" w:hAnsi="Cambria"/>
      <w:color w:val="365F91"/>
      <w:kern w:val="0"/>
    </w:rPr>
  </w:style>
  <w:style w:type="character" w:styleId="CommentReference">
    <w:name w:val="annotation reference"/>
    <w:rsid w:val="00DE4A2D"/>
    <w:rPr>
      <w:sz w:val="16"/>
    </w:rPr>
  </w:style>
  <w:style w:type="paragraph" w:styleId="CommentText">
    <w:name w:val="annotation text"/>
    <w:basedOn w:val="Normal"/>
    <w:link w:val="CommentTextChar"/>
    <w:rsid w:val="00DE4A2D"/>
    <w:rPr>
      <w:sz w:val="20"/>
    </w:rPr>
  </w:style>
  <w:style w:type="character" w:customStyle="1" w:styleId="CommentTextChar">
    <w:name w:val="Comment Text Char"/>
    <w:link w:val="CommentText"/>
    <w:rsid w:val="00DE4A2D"/>
  </w:style>
  <w:style w:type="paragraph" w:styleId="CommentSubject">
    <w:name w:val="annotation subject"/>
    <w:basedOn w:val="CommentText"/>
    <w:next w:val="CommentText"/>
    <w:link w:val="CommentSubjectChar"/>
    <w:rsid w:val="00DE4A2D"/>
    <w:rPr>
      <w:b/>
    </w:rPr>
  </w:style>
  <w:style w:type="character" w:customStyle="1" w:styleId="CommentSubjectChar">
    <w:name w:val="Comment Subject Char"/>
    <w:link w:val="CommentSubject"/>
    <w:rsid w:val="00DE4A2D"/>
    <w:rPr>
      <w: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4A2D"/>
  </w:style>
  <w:style w:type="character" w:customStyle="1" w:styleId="Heading2Char">
    <w:name w:val="Heading 2 Char"/>
    <w:link w:val="Heading2"/>
    <w:rsid w:val="004B612C"/>
    <w:rPr>
      <w:rFonts w:ascii="Arial" w:hAnsi="Arial"/>
      <w:b/>
      <w:i/>
      <w:sz w:val="24"/>
    </w:rPr>
  </w:style>
  <w:style w:type="character" w:customStyle="1" w:styleId="Heading3Char">
    <w:name w:val="Heading 3 Char"/>
    <w:link w:val="Heading3"/>
    <w:rsid w:val="00D412EF"/>
    <w:rPr>
      <w:rFonts w:ascii="Arial" w:hAnsi="Arial"/>
      <w:sz w:val="24"/>
    </w:rPr>
  </w:style>
  <w:style w:type="paragraph" w:styleId="Revision">
    <w:name w:val="Revision"/>
    <w:hidden/>
    <w:uiPriority w:val="99"/>
    <w:semiHidden/>
    <w:rsid w:val="007347C0"/>
    <w:rPr>
      <w:sz w:val="24"/>
      <w:lang w:val="fr"/>
    </w:rPr>
  </w:style>
  <w:style w:type="character" w:customStyle="1" w:styleId="normaltextrun">
    <w:name w:val="normaltextrun"/>
    <w:basedOn w:val="DefaultParagraphFont"/>
    <w:rsid w:val="00BC7B9C"/>
  </w:style>
  <w:style w:type="paragraph" w:customStyle="1" w:styleId="paragraph">
    <w:name w:val="paragraph"/>
    <w:basedOn w:val="Normal"/>
    <w:rsid w:val="00BC7B9C"/>
    <w:pPr>
      <w:spacing w:before="100" w:beforeAutospacing="1" w:after="100" w:afterAutospacing="1"/>
    </w:pPr>
  </w:style>
  <w:style w:type="character" w:customStyle="1" w:styleId="eop">
    <w:name w:val="eop"/>
    <w:basedOn w:val="DefaultParagraphFont"/>
    <w:rsid w:val="00BC7B9C"/>
  </w:style>
  <w:style w:type="character" w:customStyle="1" w:styleId="superscript">
    <w:name w:val="superscript"/>
    <w:basedOn w:val="DefaultParagraphFont"/>
    <w:rsid w:val="00BC7B9C"/>
  </w:style>
  <w:style w:type="character" w:customStyle="1" w:styleId="tabchar">
    <w:name w:val="tabchar"/>
    <w:basedOn w:val="DefaultParagraphFont"/>
    <w:rsid w:val="00C30DFC"/>
  </w:style>
  <w:style w:type="paragraph" w:styleId="ListParagraph">
    <w:name w:val="List Paragraph"/>
    <w:basedOn w:val="Normal"/>
    <w:uiPriority w:val="34"/>
    <w:qFormat/>
    <w:pPr>
      <w:ind w:left="720"/>
      <w:contextualSpacing/>
    </w:pPr>
  </w:style>
  <w:style w:type="character" w:styleId="UnresolvedMention">
    <w:name w:val="Unresolved Mention"/>
    <w:uiPriority w:val="99"/>
    <w:semiHidden/>
    <w:unhideWhenUsed/>
    <w:rsid w:val="009A5FF3"/>
    <w:rPr>
      <w:color w:val="605E5C"/>
      <w:shd w:val="clear" w:color="auto" w:fill="E1DFDD"/>
    </w:rPr>
  </w:style>
  <w:style w:type="paragraph" w:customStyle="1" w:styleId="P68B1DB1-Normal1">
    <w:name w:val="P68B1DB1-Normal1"/>
    <w:basedOn w:val="Normal"/>
    <w:rPr>
      <w:b/>
      <w:sz w:val="28"/>
    </w:rPr>
  </w:style>
  <w:style w:type="paragraph" w:customStyle="1" w:styleId="P68B1DB1-Normal2">
    <w:name w:val="P68B1DB1-Normal2"/>
    <w:basedOn w:val="Normal"/>
    <w:rPr>
      <w:b/>
    </w:rPr>
  </w:style>
  <w:style w:type="paragraph" w:customStyle="1" w:styleId="P68B1DB1-Normal3">
    <w:name w:val="P68B1DB1-Normal3"/>
    <w:basedOn w:val="Normal"/>
    <w:rPr>
      <w:sz w:val="28"/>
    </w:rPr>
  </w:style>
  <w:style w:type="paragraph" w:customStyle="1" w:styleId="P68B1DB1-Normal4">
    <w:name w:val="P68B1DB1-Normal4"/>
    <w:basedOn w:val="Normal"/>
    <w:rPr>
      <w:b/>
      <w:color w:val="FF0000"/>
      <w:u w:val="single"/>
    </w:rPr>
  </w:style>
  <w:style w:type="paragraph" w:customStyle="1" w:styleId="P68B1DB1-Normal5">
    <w:name w:val="P68B1DB1-Normal5"/>
    <w:basedOn w:val="Normal"/>
    <w:rPr>
      <w:sz w:val="22"/>
    </w:rPr>
  </w:style>
  <w:style w:type="paragraph" w:customStyle="1" w:styleId="P68B1DB1-Normal6">
    <w:name w:val="P68B1DB1-Normal6"/>
    <w:basedOn w:val="Normal"/>
    <w:rPr>
      <w:b/>
      <w:i/>
      <w:highlight w:val="yellow"/>
    </w:rPr>
  </w:style>
  <w:style w:type="paragraph" w:customStyle="1" w:styleId="P68B1DB1-Normal7">
    <w:name w:val="P68B1DB1-Normal7"/>
    <w:basedOn w:val="Normal"/>
    <w:rPr>
      <w:i/>
      <w:highlight w:val="yellow"/>
    </w:rPr>
  </w:style>
  <w:style w:type="paragraph" w:customStyle="1" w:styleId="P68B1DB1-Normal8">
    <w:name w:val="P68B1DB1-Normal8"/>
    <w:basedOn w:val="Normal"/>
    <w:rPr>
      <w:i/>
      <w:sz w:val="22"/>
      <w:highlight w:val="yellow"/>
    </w:rPr>
  </w:style>
  <w:style w:type="paragraph" w:customStyle="1" w:styleId="P68B1DB1-Normal9">
    <w:name w:val="P68B1DB1-Normal9"/>
    <w:basedOn w:val="Normal"/>
    <w:rPr>
      <w:b/>
      <w:color w:val="0070C0"/>
    </w:rPr>
  </w:style>
  <w:style w:type="paragraph" w:customStyle="1" w:styleId="P68B1DB1-Normal10">
    <w:name w:val="P68B1DB1-Normal10"/>
    <w:basedOn w:val="Normal"/>
    <w:rPr>
      <w:rFonts w:ascii="Arial" w:hAnsi="Arial" w:cs="Arial"/>
      <w:b/>
      <w:sz w:val="28"/>
    </w:rPr>
  </w:style>
  <w:style w:type="paragraph" w:customStyle="1" w:styleId="P68B1DB1-Heading111">
    <w:name w:val="P68B1DB1-Heading111"/>
    <w:basedOn w:val="Heading1"/>
    <w:rPr>
      <w:rFonts w:ascii="Times New Roman" w:hAnsi="Times New Roman"/>
    </w:rPr>
  </w:style>
  <w:style w:type="paragraph" w:customStyle="1" w:styleId="P68B1DB1-Heading212">
    <w:name w:val="P68B1DB1-Heading212"/>
    <w:basedOn w:val="Heading2"/>
    <w:rPr>
      <w:rFonts w:ascii="Times New Roman" w:hAnsi="Times New Roman"/>
    </w:rPr>
  </w:style>
  <w:style w:type="paragraph" w:customStyle="1" w:styleId="P68B1DB1-Heading313">
    <w:name w:val="P68B1DB1-Heading313"/>
    <w:basedOn w:val="Heading3"/>
    <w:rPr>
      <w:rFonts w:ascii="Times New Roman" w:hAnsi="Times New Roman"/>
      <w:b/>
      <w:i/>
      <w:sz w:val="22"/>
    </w:rPr>
  </w:style>
  <w:style w:type="paragraph" w:customStyle="1" w:styleId="P68B1DB1-Normal14">
    <w:name w:val="P68B1DB1-Normal14"/>
    <w:basedOn w:val="Normal"/>
    <w:rPr>
      <w:sz w:val="22"/>
      <w:highlight w:val="yellow"/>
    </w:rPr>
  </w:style>
  <w:style w:type="paragraph" w:customStyle="1" w:styleId="P68B1DB1-Normal15">
    <w:name w:val="P68B1DB1-Normal15"/>
    <w:basedOn w:val="Normal"/>
    <w:rPr>
      <w:sz w:val="22"/>
      <w:highlight w:val="lightGray"/>
    </w:rPr>
  </w:style>
  <w:style w:type="paragraph" w:customStyle="1" w:styleId="P68B1DB1-Normal16">
    <w:name w:val="P68B1DB1-Normal16"/>
    <w:basedOn w:val="Normal"/>
    <w:rPr>
      <w:b/>
      <w:sz w:val="22"/>
    </w:rPr>
  </w:style>
  <w:style w:type="paragraph" w:customStyle="1" w:styleId="P68B1DB1-Normal17">
    <w:name w:val="P68B1DB1-Normal17"/>
    <w:basedOn w:val="Normal"/>
    <w:rPr>
      <w:rFonts w:cs="Arial"/>
      <w:sz w:val="22"/>
    </w:rPr>
  </w:style>
  <w:style w:type="paragraph" w:customStyle="1" w:styleId="P68B1DB1-Heading218">
    <w:name w:val="P68B1DB1-Heading218"/>
    <w:basedOn w:val="Heading2"/>
    <w:rPr>
      <w:rFonts w:ascii="Times New Roman" w:hAnsi="Times New Roman"/>
      <w:sz w:val="22"/>
    </w:rPr>
  </w:style>
  <w:style w:type="paragraph" w:customStyle="1" w:styleId="P68B1DB1-Normal19">
    <w:name w:val="P68B1DB1-Normal19"/>
    <w:basedOn w:val="Normal"/>
    <w:rPr>
      <w:color w:val="000000"/>
      <w:sz w:val="22"/>
    </w:rPr>
  </w:style>
  <w:style w:type="paragraph" w:customStyle="1" w:styleId="P68B1DB1-Heading220">
    <w:name w:val="P68B1DB1-Heading220"/>
    <w:basedOn w:val="Heading2"/>
    <w:rPr>
      <w:rFonts w:ascii="Times New Roman" w:hAnsi="Times New Roman"/>
      <w:b w:val="0"/>
      <w:i w:val="0"/>
      <w:sz w:val="22"/>
    </w:rPr>
  </w:style>
  <w:style w:type="paragraph" w:customStyle="1" w:styleId="P68B1DB1-Footer21">
    <w:name w:val="P68B1DB1-Footer21"/>
    <w:basedOn w:val="Footer"/>
    <w:rPr>
      <w:rFonts w:ascii="Arial" w:hAnsi="Arial" w:cs="Arial"/>
      <w:i/>
      <w:sz w:val="16"/>
    </w:rPr>
  </w:style>
  <w:style w:type="paragraph" w:customStyle="1" w:styleId="P68B1DB1-Header22">
    <w:name w:val="P68B1DB1-Header22"/>
    <w:basedOn w:val="Header"/>
    <w:rPr>
      <w:rFonts w:ascii="Arial" w:hAnsi="Arial" w:cs="Arial"/>
      <w:i/>
      <w:sz w:val="16"/>
    </w:rPr>
  </w:style>
  <w:style w:type="paragraph" w:customStyle="1" w:styleId="P68B1DB1-Normal11">
    <w:name w:val="P68B1DB1-Normal11"/>
    <w:basedOn w:val="Normal"/>
    <w:rsid w:val="00C4668B"/>
    <w:pPr>
      <w:spacing w:after="120"/>
      <w:jc w:val="both"/>
    </w:pPr>
    <w:rPr>
      <w:b/>
      <w:sz w:val="22"/>
    </w:rPr>
  </w:style>
  <w:style w:type="paragraph" w:customStyle="1" w:styleId="P68B1DB1-Normal12">
    <w:name w:val="P68B1DB1-Normal12"/>
    <w:basedOn w:val="Normal"/>
    <w:rsid w:val="00C4668B"/>
    <w:pPr>
      <w:spacing w:after="120"/>
      <w:jc w:val="both"/>
    </w:pPr>
    <w:rPr>
      <w:b/>
      <w:color w:val="FF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5916740">
      <w:bodyDiv w:val="1"/>
      <w:marLeft w:val="0"/>
      <w:marRight w:val="0"/>
      <w:marTop w:val="0"/>
      <w:marBottom w:val="0"/>
      <w:divBdr>
        <w:top w:val="none" w:sz="0" w:space="0" w:color="auto"/>
        <w:left w:val="none" w:sz="0" w:space="0" w:color="auto"/>
        <w:bottom w:val="none" w:sz="0" w:space="0" w:color="auto"/>
        <w:right w:val="none" w:sz="0" w:space="0" w:color="auto"/>
      </w:divBdr>
      <w:divsChild>
        <w:div w:id="5912695">
          <w:marLeft w:val="0"/>
          <w:marRight w:val="0"/>
          <w:marTop w:val="0"/>
          <w:marBottom w:val="0"/>
          <w:divBdr>
            <w:top w:val="none" w:sz="0" w:space="0" w:color="auto"/>
            <w:left w:val="none" w:sz="0" w:space="0" w:color="auto"/>
            <w:bottom w:val="none" w:sz="0" w:space="0" w:color="auto"/>
            <w:right w:val="none" w:sz="0" w:space="0" w:color="auto"/>
          </w:divBdr>
        </w:div>
        <w:div w:id="7954266">
          <w:marLeft w:val="0"/>
          <w:marRight w:val="0"/>
          <w:marTop w:val="0"/>
          <w:marBottom w:val="0"/>
          <w:divBdr>
            <w:top w:val="none" w:sz="0" w:space="0" w:color="auto"/>
            <w:left w:val="none" w:sz="0" w:space="0" w:color="auto"/>
            <w:bottom w:val="none" w:sz="0" w:space="0" w:color="auto"/>
            <w:right w:val="none" w:sz="0" w:space="0" w:color="auto"/>
          </w:divBdr>
        </w:div>
        <w:div w:id="8724803">
          <w:marLeft w:val="0"/>
          <w:marRight w:val="0"/>
          <w:marTop w:val="0"/>
          <w:marBottom w:val="0"/>
          <w:divBdr>
            <w:top w:val="none" w:sz="0" w:space="0" w:color="auto"/>
            <w:left w:val="none" w:sz="0" w:space="0" w:color="auto"/>
            <w:bottom w:val="none" w:sz="0" w:space="0" w:color="auto"/>
            <w:right w:val="none" w:sz="0" w:space="0" w:color="auto"/>
          </w:divBdr>
        </w:div>
        <w:div w:id="97261053">
          <w:marLeft w:val="0"/>
          <w:marRight w:val="0"/>
          <w:marTop w:val="0"/>
          <w:marBottom w:val="0"/>
          <w:divBdr>
            <w:top w:val="none" w:sz="0" w:space="0" w:color="auto"/>
            <w:left w:val="none" w:sz="0" w:space="0" w:color="auto"/>
            <w:bottom w:val="none" w:sz="0" w:space="0" w:color="auto"/>
            <w:right w:val="none" w:sz="0" w:space="0" w:color="auto"/>
          </w:divBdr>
        </w:div>
        <w:div w:id="113911811">
          <w:marLeft w:val="0"/>
          <w:marRight w:val="0"/>
          <w:marTop w:val="0"/>
          <w:marBottom w:val="0"/>
          <w:divBdr>
            <w:top w:val="none" w:sz="0" w:space="0" w:color="auto"/>
            <w:left w:val="none" w:sz="0" w:space="0" w:color="auto"/>
            <w:bottom w:val="none" w:sz="0" w:space="0" w:color="auto"/>
            <w:right w:val="none" w:sz="0" w:space="0" w:color="auto"/>
          </w:divBdr>
          <w:divsChild>
            <w:div w:id="1873614509">
              <w:marLeft w:val="-75"/>
              <w:marRight w:val="0"/>
              <w:marTop w:val="30"/>
              <w:marBottom w:val="30"/>
              <w:divBdr>
                <w:top w:val="none" w:sz="0" w:space="0" w:color="auto"/>
                <w:left w:val="none" w:sz="0" w:space="0" w:color="auto"/>
                <w:bottom w:val="none" w:sz="0" w:space="0" w:color="auto"/>
                <w:right w:val="none" w:sz="0" w:space="0" w:color="auto"/>
              </w:divBdr>
              <w:divsChild>
                <w:div w:id="3478638">
                  <w:marLeft w:val="0"/>
                  <w:marRight w:val="0"/>
                  <w:marTop w:val="0"/>
                  <w:marBottom w:val="0"/>
                  <w:divBdr>
                    <w:top w:val="none" w:sz="0" w:space="0" w:color="auto"/>
                    <w:left w:val="none" w:sz="0" w:space="0" w:color="auto"/>
                    <w:bottom w:val="none" w:sz="0" w:space="0" w:color="auto"/>
                    <w:right w:val="none" w:sz="0" w:space="0" w:color="auto"/>
                  </w:divBdr>
                  <w:divsChild>
                    <w:div w:id="749959730">
                      <w:marLeft w:val="0"/>
                      <w:marRight w:val="0"/>
                      <w:marTop w:val="0"/>
                      <w:marBottom w:val="0"/>
                      <w:divBdr>
                        <w:top w:val="none" w:sz="0" w:space="0" w:color="auto"/>
                        <w:left w:val="none" w:sz="0" w:space="0" w:color="auto"/>
                        <w:bottom w:val="none" w:sz="0" w:space="0" w:color="auto"/>
                        <w:right w:val="none" w:sz="0" w:space="0" w:color="auto"/>
                      </w:divBdr>
                    </w:div>
                  </w:divsChild>
                </w:div>
                <w:div w:id="40831107">
                  <w:marLeft w:val="0"/>
                  <w:marRight w:val="0"/>
                  <w:marTop w:val="0"/>
                  <w:marBottom w:val="0"/>
                  <w:divBdr>
                    <w:top w:val="none" w:sz="0" w:space="0" w:color="auto"/>
                    <w:left w:val="none" w:sz="0" w:space="0" w:color="auto"/>
                    <w:bottom w:val="none" w:sz="0" w:space="0" w:color="auto"/>
                    <w:right w:val="none" w:sz="0" w:space="0" w:color="auto"/>
                  </w:divBdr>
                  <w:divsChild>
                    <w:div w:id="1489203985">
                      <w:marLeft w:val="0"/>
                      <w:marRight w:val="0"/>
                      <w:marTop w:val="0"/>
                      <w:marBottom w:val="0"/>
                      <w:divBdr>
                        <w:top w:val="none" w:sz="0" w:space="0" w:color="auto"/>
                        <w:left w:val="none" w:sz="0" w:space="0" w:color="auto"/>
                        <w:bottom w:val="none" w:sz="0" w:space="0" w:color="auto"/>
                        <w:right w:val="none" w:sz="0" w:space="0" w:color="auto"/>
                      </w:divBdr>
                    </w:div>
                  </w:divsChild>
                </w:div>
                <w:div w:id="96366666">
                  <w:marLeft w:val="0"/>
                  <w:marRight w:val="0"/>
                  <w:marTop w:val="0"/>
                  <w:marBottom w:val="0"/>
                  <w:divBdr>
                    <w:top w:val="none" w:sz="0" w:space="0" w:color="auto"/>
                    <w:left w:val="none" w:sz="0" w:space="0" w:color="auto"/>
                    <w:bottom w:val="none" w:sz="0" w:space="0" w:color="auto"/>
                    <w:right w:val="none" w:sz="0" w:space="0" w:color="auto"/>
                  </w:divBdr>
                  <w:divsChild>
                    <w:div w:id="407313914">
                      <w:marLeft w:val="0"/>
                      <w:marRight w:val="0"/>
                      <w:marTop w:val="0"/>
                      <w:marBottom w:val="0"/>
                      <w:divBdr>
                        <w:top w:val="none" w:sz="0" w:space="0" w:color="auto"/>
                        <w:left w:val="none" w:sz="0" w:space="0" w:color="auto"/>
                        <w:bottom w:val="none" w:sz="0" w:space="0" w:color="auto"/>
                        <w:right w:val="none" w:sz="0" w:space="0" w:color="auto"/>
                      </w:divBdr>
                    </w:div>
                  </w:divsChild>
                </w:div>
                <w:div w:id="148833624">
                  <w:marLeft w:val="0"/>
                  <w:marRight w:val="0"/>
                  <w:marTop w:val="0"/>
                  <w:marBottom w:val="0"/>
                  <w:divBdr>
                    <w:top w:val="none" w:sz="0" w:space="0" w:color="auto"/>
                    <w:left w:val="none" w:sz="0" w:space="0" w:color="auto"/>
                    <w:bottom w:val="none" w:sz="0" w:space="0" w:color="auto"/>
                    <w:right w:val="none" w:sz="0" w:space="0" w:color="auto"/>
                  </w:divBdr>
                  <w:divsChild>
                    <w:div w:id="777408911">
                      <w:marLeft w:val="0"/>
                      <w:marRight w:val="0"/>
                      <w:marTop w:val="0"/>
                      <w:marBottom w:val="0"/>
                      <w:divBdr>
                        <w:top w:val="none" w:sz="0" w:space="0" w:color="auto"/>
                        <w:left w:val="none" w:sz="0" w:space="0" w:color="auto"/>
                        <w:bottom w:val="none" w:sz="0" w:space="0" w:color="auto"/>
                        <w:right w:val="none" w:sz="0" w:space="0" w:color="auto"/>
                      </w:divBdr>
                    </w:div>
                  </w:divsChild>
                </w:div>
                <w:div w:id="251739843">
                  <w:marLeft w:val="0"/>
                  <w:marRight w:val="0"/>
                  <w:marTop w:val="0"/>
                  <w:marBottom w:val="0"/>
                  <w:divBdr>
                    <w:top w:val="none" w:sz="0" w:space="0" w:color="auto"/>
                    <w:left w:val="none" w:sz="0" w:space="0" w:color="auto"/>
                    <w:bottom w:val="none" w:sz="0" w:space="0" w:color="auto"/>
                    <w:right w:val="none" w:sz="0" w:space="0" w:color="auto"/>
                  </w:divBdr>
                  <w:divsChild>
                    <w:div w:id="144048926">
                      <w:marLeft w:val="0"/>
                      <w:marRight w:val="0"/>
                      <w:marTop w:val="0"/>
                      <w:marBottom w:val="0"/>
                      <w:divBdr>
                        <w:top w:val="none" w:sz="0" w:space="0" w:color="auto"/>
                        <w:left w:val="none" w:sz="0" w:space="0" w:color="auto"/>
                        <w:bottom w:val="none" w:sz="0" w:space="0" w:color="auto"/>
                        <w:right w:val="none" w:sz="0" w:space="0" w:color="auto"/>
                      </w:divBdr>
                    </w:div>
                  </w:divsChild>
                </w:div>
                <w:div w:id="541015413">
                  <w:marLeft w:val="0"/>
                  <w:marRight w:val="0"/>
                  <w:marTop w:val="0"/>
                  <w:marBottom w:val="0"/>
                  <w:divBdr>
                    <w:top w:val="none" w:sz="0" w:space="0" w:color="auto"/>
                    <w:left w:val="none" w:sz="0" w:space="0" w:color="auto"/>
                    <w:bottom w:val="none" w:sz="0" w:space="0" w:color="auto"/>
                    <w:right w:val="none" w:sz="0" w:space="0" w:color="auto"/>
                  </w:divBdr>
                  <w:divsChild>
                    <w:div w:id="1890416372">
                      <w:marLeft w:val="0"/>
                      <w:marRight w:val="0"/>
                      <w:marTop w:val="0"/>
                      <w:marBottom w:val="0"/>
                      <w:divBdr>
                        <w:top w:val="none" w:sz="0" w:space="0" w:color="auto"/>
                        <w:left w:val="none" w:sz="0" w:space="0" w:color="auto"/>
                        <w:bottom w:val="none" w:sz="0" w:space="0" w:color="auto"/>
                        <w:right w:val="none" w:sz="0" w:space="0" w:color="auto"/>
                      </w:divBdr>
                    </w:div>
                  </w:divsChild>
                </w:div>
                <w:div w:id="711879638">
                  <w:marLeft w:val="0"/>
                  <w:marRight w:val="0"/>
                  <w:marTop w:val="0"/>
                  <w:marBottom w:val="0"/>
                  <w:divBdr>
                    <w:top w:val="none" w:sz="0" w:space="0" w:color="auto"/>
                    <w:left w:val="none" w:sz="0" w:space="0" w:color="auto"/>
                    <w:bottom w:val="none" w:sz="0" w:space="0" w:color="auto"/>
                    <w:right w:val="none" w:sz="0" w:space="0" w:color="auto"/>
                  </w:divBdr>
                  <w:divsChild>
                    <w:div w:id="4869255">
                      <w:marLeft w:val="0"/>
                      <w:marRight w:val="0"/>
                      <w:marTop w:val="0"/>
                      <w:marBottom w:val="0"/>
                      <w:divBdr>
                        <w:top w:val="none" w:sz="0" w:space="0" w:color="auto"/>
                        <w:left w:val="none" w:sz="0" w:space="0" w:color="auto"/>
                        <w:bottom w:val="none" w:sz="0" w:space="0" w:color="auto"/>
                        <w:right w:val="none" w:sz="0" w:space="0" w:color="auto"/>
                      </w:divBdr>
                    </w:div>
                    <w:div w:id="93983523">
                      <w:marLeft w:val="0"/>
                      <w:marRight w:val="0"/>
                      <w:marTop w:val="0"/>
                      <w:marBottom w:val="0"/>
                      <w:divBdr>
                        <w:top w:val="none" w:sz="0" w:space="0" w:color="auto"/>
                        <w:left w:val="none" w:sz="0" w:space="0" w:color="auto"/>
                        <w:bottom w:val="none" w:sz="0" w:space="0" w:color="auto"/>
                        <w:right w:val="none" w:sz="0" w:space="0" w:color="auto"/>
                      </w:divBdr>
                    </w:div>
                  </w:divsChild>
                </w:div>
                <w:div w:id="764348042">
                  <w:marLeft w:val="0"/>
                  <w:marRight w:val="0"/>
                  <w:marTop w:val="0"/>
                  <w:marBottom w:val="0"/>
                  <w:divBdr>
                    <w:top w:val="none" w:sz="0" w:space="0" w:color="auto"/>
                    <w:left w:val="none" w:sz="0" w:space="0" w:color="auto"/>
                    <w:bottom w:val="none" w:sz="0" w:space="0" w:color="auto"/>
                    <w:right w:val="none" w:sz="0" w:space="0" w:color="auto"/>
                  </w:divBdr>
                  <w:divsChild>
                    <w:div w:id="1237979515">
                      <w:marLeft w:val="0"/>
                      <w:marRight w:val="0"/>
                      <w:marTop w:val="0"/>
                      <w:marBottom w:val="0"/>
                      <w:divBdr>
                        <w:top w:val="none" w:sz="0" w:space="0" w:color="auto"/>
                        <w:left w:val="none" w:sz="0" w:space="0" w:color="auto"/>
                        <w:bottom w:val="none" w:sz="0" w:space="0" w:color="auto"/>
                        <w:right w:val="none" w:sz="0" w:space="0" w:color="auto"/>
                      </w:divBdr>
                    </w:div>
                  </w:divsChild>
                </w:div>
                <w:div w:id="877742970">
                  <w:marLeft w:val="0"/>
                  <w:marRight w:val="0"/>
                  <w:marTop w:val="0"/>
                  <w:marBottom w:val="0"/>
                  <w:divBdr>
                    <w:top w:val="none" w:sz="0" w:space="0" w:color="auto"/>
                    <w:left w:val="none" w:sz="0" w:space="0" w:color="auto"/>
                    <w:bottom w:val="none" w:sz="0" w:space="0" w:color="auto"/>
                    <w:right w:val="none" w:sz="0" w:space="0" w:color="auto"/>
                  </w:divBdr>
                  <w:divsChild>
                    <w:div w:id="208346842">
                      <w:marLeft w:val="0"/>
                      <w:marRight w:val="0"/>
                      <w:marTop w:val="0"/>
                      <w:marBottom w:val="0"/>
                      <w:divBdr>
                        <w:top w:val="none" w:sz="0" w:space="0" w:color="auto"/>
                        <w:left w:val="none" w:sz="0" w:space="0" w:color="auto"/>
                        <w:bottom w:val="none" w:sz="0" w:space="0" w:color="auto"/>
                        <w:right w:val="none" w:sz="0" w:space="0" w:color="auto"/>
                      </w:divBdr>
                    </w:div>
                  </w:divsChild>
                </w:div>
                <w:div w:id="911502582">
                  <w:marLeft w:val="0"/>
                  <w:marRight w:val="0"/>
                  <w:marTop w:val="0"/>
                  <w:marBottom w:val="0"/>
                  <w:divBdr>
                    <w:top w:val="none" w:sz="0" w:space="0" w:color="auto"/>
                    <w:left w:val="none" w:sz="0" w:space="0" w:color="auto"/>
                    <w:bottom w:val="none" w:sz="0" w:space="0" w:color="auto"/>
                    <w:right w:val="none" w:sz="0" w:space="0" w:color="auto"/>
                  </w:divBdr>
                  <w:divsChild>
                    <w:div w:id="1114596824">
                      <w:marLeft w:val="0"/>
                      <w:marRight w:val="0"/>
                      <w:marTop w:val="0"/>
                      <w:marBottom w:val="0"/>
                      <w:divBdr>
                        <w:top w:val="none" w:sz="0" w:space="0" w:color="auto"/>
                        <w:left w:val="none" w:sz="0" w:space="0" w:color="auto"/>
                        <w:bottom w:val="none" w:sz="0" w:space="0" w:color="auto"/>
                        <w:right w:val="none" w:sz="0" w:space="0" w:color="auto"/>
                      </w:divBdr>
                    </w:div>
                  </w:divsChild>
                </w:div>
                <w:div w:id="950165794">
                  <w:marLeft w:val="0"/>
                  <w:marRight w:val="0"/>
                  <w:marTop w:val="0"/>
                  <w:marBottom w:val="0"/>
                  <w:divBdr>
                    <w:top w:val="none" w:sz="0" w:space="0" w:color="auto"/>
                    <w:left w:val="none" w:sz="0" w:space="0" w:color="auto"/>
                    <w:bottom w:val="none" w:sz="0" w:space="0" w:color="auto"/>
                    <w:right w:val="none" w:sz="0" w:space="0" w:color="auto"/>
                  </w:divBdr>
                  <w:divsChild>
                    <w:div w:id="1731491977">
                      <w:marLeft w:val="0"/>
                      <w:marRight w:val="0"/>
                      <w:marTop w:val="0"/>
                      <w:marBottom w:val="0"/>
                      <w:divBdr>
                        <w:top w:val="none" w:sz="0" w:space="0" w:color="auto"/>
                        <w:left w:val="none" w:sz="0" w:space="0" w:color="auto"/>
                        <w:bottom w:val="none" w:sz="0" w:space="0" w:color="auto"/>
                        <w:right w:val="none" w:sz="0" w:space="0" w:color="auto"/>
                      </w:divBdr>
                    </w:div>
                  </w:divsChild>
                </w:div>
                <w:div w:id="1030691146">
                  <w:marLeft w:val="0"/>
                  <w:marRight w:val="0"/>
                  <w:marTop w:val="0"/>
                  <w:marBottom w:val="0"/>
                  <w:divBdr>
                    <w:top w:val="none" w:sz="0" w:space="0" w:color="auto"/>
                    <w:left w:val="none" w:sz="0" w:space="0" w:color="auto"/>
                    <w:bottom w:val="none" w:sz="0" w:space="0" w:color="auto"/>
                    <w:right w:val="none" w:sz="0" w:space="0" w:color="auto"/>
                  </w:divBdr>
                  <w:divsChild>
                    <w:div w:id="410274783">
                      <w:marLeft w:val="0"/>
                      <w:marRight w:val="0"/>
                      <w:marTop w:val="0"/>
                      <w:marBottom w:val="0"/>
                      <w:divBdr>
                        <w:top w:val="none" w:sz="0" w:space="0" w:color="auto"/>
                        <w:left w:val="none" w:sz="0" w:space="0" w:color="auto"/>
                        <w:bottom w:val="none" w:sz="0" w:space="0" w:color="auto"/>
                        <w:right w:val="none" w:sz="0" w:space="0" w:color="auto"/>
                      </w:divBdr>
                    </w:div>
                  </w:divsChild>
                </w:div>
                <w:div w:id="1115636388">
                  <w:marLeft w:val="0"/>
                  <w:marRight w:val="0"/>
                  <w:marTop w:val="0"/>
                  <w:marBottom w:val="0"/>
                  <w:divBdr>
                    <w:top w:val="none" w:sz="0" w:space="0" w:color="auto"/>
                    <w:left w:val="none" w:sz="0" w:space="0" w:color="auto"/>
                    <w:bottom w:val="none" w:sz="0" w:space="0" w:color="auto"/>
                    <w:right w:val="none" w:sz="0" w:space="0" w:color="auto"/>
                  </w:divBdr>
                  <w:divsChild>
                    <w:div w:id="399403501">
                      <w:marLeft w:val="0"/>
                      <w:marRight w:val="0"/>
                      <w:marTop w:val="0"/>
                      <w:marBottom w:val="0"/>
                      <w:divBdr>
                        <w:top w:val="none" w:sz="0" w:space="0" w:color="auto"/>
                        <w:left w:val="none" w:sz="0" w:space="0" w:color="auto"/>
                        <w:bottom w:val="none" w:sz="0" w:space="0" w:color="auto"/>
                        <w:right w:val="none" w:sz="0" w:space="0" w:color="auto"/>
                      </w:divBdr>
                    </w:div>
                  </w:divsChild>
                </w:div>
                <w:div w:id="1149205019">
                  <w:marLeft w:val="0"/>
                  <w:marRight w:val="0"/>
                  <w:marTop w:val="0"/>
                  <w:marBottom w:val="0"/>
                  <w:divBdr>
                    <w:top w:val="none" w:sz="0" w:space="0" w:color="auto"/>
                    <w:left w:val="none" w:sz="0" w:space="0" w:color="auto"/>
                    <w:bottom w:val="none" w:sz="0" w:space="0" w:color="auto"/>
                    <w:right w:val="none" w:sz="0" w:space="0" w:color="auto"/>
                  </w:divBdr>
                  <w:divsChild>
                    <w:div w:id="362705936">
                      <w:marLeft w:val="0"/>
                      <w:marRight w:val="0"/>
                      <w:marTop w:val="0"/>
                      <w:marBottom w:val="0"/>
                      <w:divBdr>
                        <w:top w:val="none" w:sz="0" w:space="0" w:color="auto"/>
                        <w:left w:val="none" w:sz="0" w:space="0" w:color="auto"/>
                        <w:bottom w:val="none" w:sz="0" w:space="0" w:color="auto"/>
                        <w:right w:val="none" w:sz="0" w:space="0" w:color="auto"/>
                      </w:divBdr>
                    </w:div>
                  </w:divsChild>
                </w:div>
                <w:div w:id="1316179087">
                  <w:marLeft w:val="0"/>
                  <w:marRight w:val="0"/>
                  <w:marTop w:val="0"/>
                  <w:marBottom w:val="0"/>
                  <w:divBdr>
                    <w:top w:val="none" w:sz="0" w:space="0" w:color="auto"/>
                    <w:left w:val="none" w:sz="0" w:space="0" w:color="auto"/>
                    <w:bottom w:val="none" w:sz="0" w:space="0" w:color="auto"/>
                    <w:right w:val="none" w:sz="0" w:space="0" w:color="auto"/>
                  </w:divBdr>
                  <w:divsChild>
                    <w:div w:id="1328754767">
                      <w:marLeft w:val="0"/>
                      <w:marRight w:val="0"/>
                      <w:marTop w:val="0"/>
                      <w:marBottom w:val="0"/>
                      <w:divBdr>
                        <w:top w:val="none" w:sz="0" w:space="0" w:color="auto"/>
                        <w:left w:val="none" w:sz="0" w:space="0" w:color="auto"/>
                        <w:bottom w:val="none" w:sz="0" w:space="0" w:color="auto"/>
                        <w:right w:val="none" w:sz="0" w:space="0" w:color="auto"/>
                      </w:divBdr>
                    </w:div>
                  </w:divsChild>
                </w:div>
                <w:div w:id="1420173635">
                  <w:marLeft w:val="0"/>
                  <w:marRight w:val="0"/>
                  <w:marTop w:val="0"/>
                  <w:marBottom w:val="0"/>
                  <w:divBdr>
                    <w:top w:val="none" w:sz="0" w:space="0" w:color="auto"/>
                    <w:left w:val="none" w:sz="0" w:space="0" w:color="auto"/>
                    <w:bottom w:val="none" w:sz="0" w:space="0" w:color="auto"/>
                    <w:right w:val="none" w:sz="0" w:space="0" w:color="auto"/>
                  </w:divBdr>
                  <w:divsChild>
                    <w:div w:id="751436515">
                      <w:marLeft w:val="0"/>
                      <w:marRight w:val="0"/>
                      <w:marTop w:val="0"/>
                      <w:marBottom w:val="0"/>
                      <w:divBdr>
                        <w:top w:val="none" w:sz="0" w:space="0" w:color="auto"/>
                        <w:left w:val="none" w:sz="0" w:space="0" w:color="auto"/>
                        <w:bottom w:val="none" w:sz="0" w:space="0" w:color="auto"/>
                        <w:right w:val="none" w:sz="0" w:space="0" w:color="auto"/>
                      </w:divBdr>
                    </w:div>
                  </w:divsChild>
                </w:div>
                <w:div w:id="1513760186">
                  <w:marLeft w:val="0"/>
                  <w:marRight w:val="0"/>
                  <w:marTop w:val="0"/>
                  <w:marBottom w:val="0"/>
                  <w:divBdr>
                    <w:top w:val="none" w:sz="0" w:space="0" w:color="auto"/>
                    <w:left w:val="none" w:sz="0" w:space="0" w:color="auto"/>
                    <w:bottom w:val="none" w:sz="0" w:space="0" w:color="auto"/>
                    <w:right w:val="none" w:sz="0" w:space="0" w:color="auto"/>
                  </w:divBdr>
                  <w:divsChild>
                    <w:div w:id="610817783">
                      <w:marLeft w:val="0"/>
                      <w:marRight w:val="0"/>
                      <w:marTop w:val="0"/>
                      <w:marBottom w:val="0"/>
                      <w:divBdr>
                        <w:top w:val="none" w:sz="0" w:space="0" w:color="auto"/>
                        <w:left w:val="none" w:sz="0" w:space="0" w:color="auto"/>
                        <w:bottom w:val="none" w:sz="0" w:space="0" w:color="auto"/>
                        <w:right w:val="none" w:sz="0" w:space="0" w:color="auto"/>
                      </w:divBdr>
                    </w:div>
                  </w:divsChild>
                </w:div>
                <w:div w:id="1583490374">
                  <w:marLeft w:val="0"/>
                  <w:marRight w:val="0"/>
                  <w:marTop w:val="0"/>
                  <w:marBottom w:val="0"/>
                  <w:divBdr>
                    <w:top w:val="none" w:sz="0" w:space="0" w:color="auto"/>
                    <w:left w:val="none" w:sz="0" w:space="0" w:color="auto"/>
                    <w:bottom w:val="none" w:sz="0" w:space="0" w:color="auto"/>
                    <w:right w:val="none" w:sz="0" w:space="0" w:color="auto"/>
                  </w:divBdr>
                  <w:divsChild>
                    <w:div w:id="1124080928">
                      <w:marLeft w:val="0"/>
                      <w:marRight w:val="0"/>
                      <w:marTop w:val="0"/>
                      <w:marBottom w:val="0"/>
                      <w:divBdr>
                        <w:top w:val="none" w:sz="0" w:space="0" w:color="auto"/>
                        <w:left w:val="none" w:sz="0" w:space="0" w:color="auto"/>
                        <w:bottom w:val="none" w:sz="0" w:space="0" w:color="auto"/>
                        <w:right w:val="none" w:sz="0" w:space="0" w:color="auto"/>
                      </w:divBdr>
                    </w:div>
                  </w:divsChild>
                </w:div>
                <w:div w:id="1615135507">
                  <w:marLeft w:val="0"/>
                  <w:marRight w:val="0"/>
                  <w:marTop w:val="0"/>
                  <w:marBottom w:val="0"/>
                  <w:divBdr>
                    <w:top w:val="none" w:sz="0" w:space="0" w:color="auto"/>
                    <w:left w:val="none" w:sz="0" w:space="0" w:color="auto"/>
                    <w:bottom w:val="none" w:sz="0" w:space="0" w:color="auto"/>
                    <w:right w:val="none" w:sz="0" w:space="0" w:color="auto"/>
                  </w:divBdr>
                  <w:divsChild>
                    <w:div w:id="1394352860">
                      <w:marLeft w:val="0"/>
                      <w:marRight w:val="0"/>
                      <w:marTop w:val="0"/>
                      <w:marBottom w:val="0"/>
                      <w:divBdr>
                        <w:top w:val="none" w:sz="0" w:space="0" w:color="auto"/>
                        <w:left w:val="none" w:sz="0" w:space="0" w:color="auto"/>
                        <w:bottom w:val="none" w:sz="0" w:space="0" w:color="auto"/>
                        <w:right w:val="none" w:sz="0" w:space="0" w:color="auto"/>
                      </w:divBdr>
                    </w:div>
                  </w:divsChild>
                </w:div>
                <w:div w:id="1616056295">
                  <w:marLeft w:val="0"/>
                  <w:marRight w:val="0"/>
                  <w:marTop w:val="0"/>
                  <w:marBottom w:val="0"/>
                  <w:divBdr>
                    <w:top w:val="none" w:sz="0" w:space="0" w:color="auto"/>
                    <w:left w:val="none" w:sz="0" w:space="0" w:color="auto"/>
                    <w:bottom w:val="none" w:sz="0" w:space="0" w:color="auto"/>
                    <w:right w:val="none" w:sz="0" w:space="0" w:color="auto"/>
                  </w:divBdr>
                  <w:divsChild>
                    <w:div w:id="997807192">
                      <w:marLeft w:val="0"/>
                      <w:marRight w:val="0"/>
                      <w:marTop w:val="0"/>
                      <w:marBottom w:val="0"/>
                      <w:divBdr>
                        <w:top w:val="none" w:sz="0" w:space="0" w:color="auto"/>
                        <w:left w:val="none" w:sz="0" w:space="0" w:color="auto"/>
                        <w:bottom w:val="none" w:sz="0" w:space="0" w:color="auto"/>
                        <w:right w:val="none" w:sz="0" w:space="0" w:color="auto"/>
                      </w:divBdr>
                    </w:div>
                  </w:divsChild>
                </w:div>
                <w:div w:id="1666012811">
                  <w:marLeft w:val="0"/>
                  <w:marRight w:val="0"/>
                  <w:marTop w:val="0"/>
                  <w:marBottom w:val="0"/>
                  <w:divBdr>
                    <w:top w:val="none" w:sz="0" w:space="0" w:color="auto"/>
                    <w:left w:val="none" w:sz="0" w:space="0" w:color="auto"/>
                    <w:bottom w:val="none" w:sz="0" w:space="0" w:color="auto"/>
                    <w:right w:val="none" w:sz="0" w:space="0" w:color="auto"/>
                  </w:divBdr>
                  <w:divsChild>
                    <w:div w:id="1698963314">
                      <w:marLeft w:val="0"/>
                      <w:marRight w:val="0"/>
                      <w:marTop w:val="0"/>
                      <w:marBottom w:val="0"/>
                      <w:divBdr>
                        <w:top w:val="none" w:sz="0" w:space="0" w:color="auto"/>
                        <w:left w:val="none" w:sz="0" w:space="0" w:color="auto"/>
                        <w:bottom w:val="none" w:sz="0" w:space="0" w:color="auto"/>
                        <w:right w:val="none" w:sz="0" w:space="0" w:color="auto"/>
                      </w:divBdr>
                    </w:div>
                  </w:divsChild>
                </w:div>
                <w:div w:id="1723019342">
                  <w:marLeft w:val="0"/>
                  <w:marRight w:val="0"/>
                  <w:marTop w:val="0"/>
                  <w:marBottom w:val="0"/>
                  <w:divBdr>
                    <w:top w:val="none" w:sz="0" w:space="0" w:color="auto"/>
                    <w:left w:val="none" w:sz="0" w:space="0" w:color="auto"/>
                    <w:bottom w:val="none" w:sz="0" w:space="0" w:color="auto"/>
                    <w:right w:val="none" w:sz="0" w:space="0" w:color="auto"/>
                  </w:divBdr>
                  <w:divsChild>
                    <w:div w:id="787118558">
                      <w:marLeft w:val="0"/>
                      <w:marRight w:val="0"/>
                      <w:marTop w:val="0"/>
                      <w:marBottom w:val="0"/>
                      <w:divBdr>
                        <w:top w:val="none" w:sz="0" w:space="0" w:color="auto"/>
                        <w:left w:val="none" w:sz="0" w:space="0" w:color="auto"/>
                        <w:bottom w:val="none" w:sz="0" w:space="0" w:color="auto"/>
                        <w:right w:val="none" w:sz="0" w:space="0" w:color="auto"/>
                      </w:divBdr>
                    </w:div>
                  </w:divsChild>
                </w:div>
                <w:div w:id="2036300524">
                  <w:marLeft w:val="0"/>
                  <w:marRight w:val="0"/>
                  <w:marTop w:val="0"/>
                  <w:marBottom w:val="0"/>
                  <w:divBdr>
                    <w:top w:val="none" w:sz="0" w:space="0" w:color="auto"/>
                    <w:left w:val="none" w:sz="0" w:space="0" w:color="auto"/>
                    <w:bottom w:val="none" w:sz="0" w:space="0" w:color="auto"/>
                    <w:right w:val="none" w:sz="0" w:space="0" w:color="auto"/>
                  </w:divBdr>
                  <w:divsChild>
                    <w:div w:id="1101070776">
                      <w:marLeft w:val="0"/>
                      <w:marRight w:val="0"/>
                      <w:marTop w:val="0"/>
                      <w:marBottom w:val="0"/>
                      <w:divBdr>
                        <w:top w:val="none" w:sz="0" w:space="0" w:color="auto"/>
                        <w:left w:val="none" w:sz="0" w:space="0" w:color="auto"/>
                        <w:bottom w:val="none" w:sz="0" w:space="0" w:color="auto"/>
                        <w:right w:val="none" w:sz="0" w:space="0" w:color="auto"/>
                      </w:divBdr>
                    </w:div>
                  </w:divsChild>
                </w:div>
                <w:div w:id="2048556977">
                  <w:marLeft w:val="0"/>
                  <w:marRight w:val="0"/>
                  <w:marTop w:val="0"/>
                  <w:marBottom w:val="0"/>
                  <w:divBdr>
                    <w:top w:val="none" w:sz="0" w:space="0" w:color="auto"/>
                    <w:left w:val="none" w:sz="0" w:space="0" w:color="auto"/>
                    <w:bottom w:val="none" w:sz="0" w:space="0" w:color="auto"/>
                    <w:right w:val="none" w:sz="0" w:space="0" w:color="auto"/>
                  </w:divBdr>
                  <w:divsChild>
                    <w:div w:id="122039519">
                      <w:marLeft w:val="0"/>
                      <w:marRight w:val="0"/>
                      <w:marTop w:val="0"/>
                      <w:marBottom w:val="0"/>
                      <w:divBdr>
                        <w:top w:val="none" w:sz="0" w:space="0" w:color="auto"/>
                        <w:left w:val="none" w:sz="0" w:space="0" w:color="auto"/>
                        <w:bottom w:val="none" w:sz="0" w:space="0" w:color="auto"/>
                        <w:right w:val="none" w:sz="0" w:space="0" w:color="auto"/>
                      </w:divBdr>
                    </w:div>
                  </w:divsChild>
                </w:div>
                <w:div w:id="2090691354">
                  <w:marLeft w:val="0"/>
                  <w:marRight w:val="0"/>
                  <w:marTop w:val="0"/>
                  <w:marBottom w:val="0"/>
                  <w:divBdr>
                    <w:top w:val="none" w:sz="0" w:space="0" w:color="auto"/>
                    <w:left w:val="none" w:sz="0" w:space="0" w:color="auto"/>
                    <w:bottom w:val="none" w:sz="0" w:space="0" w:color="auto"/>
                    <w:right w:val="none" w:sz="0" w:space="0" w:color="auto"/>
                  </w:divBdr>
                  <w:divsChild>
                    <w:div w:id="385032584">
                      <w:marLeft w:val="0"/>
                      <w:marRight w:val="0"/>
                      <w:marTop w:val="0"/>
                      <w:marBottom w:val="0"/>
                      <w:divBdr>
                        <w:top w:val="none" w:sz="0" w:space="0" w:color="auto"/>
                        <w:left w:val="none" w:sz="0" w:space="0" w:color="auto"/>
                        <w:bottom w:val="none" w:sz="0" w:space="0" w:color="auto"/>
                        <w:right w:val="none" w:sz="0" w:space="0" w:color="auto"/>
                      </w:divBdr>
                    </w:div>
                  </w:divsChild>
                </w:div>
                <w:div w:id="2091925213">
                  <w:marLeft w:val="0"/>
                  <w:marRight w:val="0"/>
                  <w:marTop w:val="0"/>
                  <w:marBottom w:val="0"/>
                  <w:divBdr>
                    <w:top w:val="none" w:sz="0" w:space="0" w:color="auto"/>
                    <w:left w:val="none" w:sz="0" w:space="0" w:color="auto"/>
                    <w:bottom w:val="none" w:sz="0" w:space="0" w:color="auto"/>
                    <w:right w:val="none" w:sz="0" w:space="0" w:color="auto"/>
                  </w:divBdr>
                  <w:divsChild>
                    <w:div w:id="190559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001678">
          <w:marLeft w:val="0"/>
          <w:marRight w:val="0"/>
          <w:marTop w:val="0"/>
          <w:marBottom w:val="0"/>
          <w:divBdr>
            <w:top w:val="none" w:sz="0" w:space="0" w:color="auto"/>
            <w:left w:val="none" w:sz="0" w:space="0" w:color="auto"/>
            <w:bottom w:val="none" w:sz="0" w:space="0" w:color="auto"/>
            <w:right w:val="none" w:sz="0" w:space="0" w:color="auto"/>
          </w:divBdr>
        </w:div>
        <w:div w:id="338048468">
          <w:marLeft w:val="0"/>
          <w:marRight w:val="0"/>
          <w:marTop w:val="0"/>
          <w:marBottom w:val="0"/>
          <w:divBdr>
            <w:top w:val="none" w:sz="0" w:space="0" w:color="auto"/>
            <w:left w:val="none" w:sz="0" w:space="0" w:color="auto"/>
            <w:bottom w:val="none" w:sz="0" w:space="0" w:color="auto"/>
            <w:right w:val="none" w:sz="0" w:space="0" w:color="auto"/>
          </w:divBdr>
        </w:div>
        <w:div w:id="393551267">
          <w:marLeft w:val="0"/>
          <w:marRight w:val="0"/>
          <w:marTop w:val="0"/>
          <w:marBottom w:val="0"/>
          <w:divBdr>
            <w:top w:val="none" w:sz="0" w:space="0" w:color="auto"/>
            <w:left w:val="none" w:sz="0" w:space="0" w:color="auto"/>
            <w:bottom w:val="none" w:sz="0" w:space="0" w:color="auto"/>
            <w:right w:val="none" w:sz="0" w:space="0" w:color="auto"/>
          </w:divBdr>
        </w:div>
        <w:div w:id="507135425">
          <w:marLeft w:val="0"/>
          <w:marRight w:val="0"/>
          <w:marTop w:val="0"/>
          <w:marBottom w:val="0"/>
          <w:divBdr>
            <w:top w:val="none" w:sz="0" w:space="0" w:color="auto"/>
            <w:left w:val="none" w:sz="0" w:space="0" w:color="auto"/>
            <w:bottom w:val="none" w:sz="0" w:space="0" w:color="auto"/>
            <w:right w:val="none" w:sz="0" w:space="0" w:color="auto"/>
          </w:divBdr>
        </w:div>
        <w:div w:id="555746563">
          <w:marLeft w:val="0"/>
          <w:marRight w:val="0"/>
          <w:marTop w:val="0"/>
          <w:marBottom w:val="0"/>
          <w:divBdr>
            <w:top w:val="none" w:sz="0" w:space="0" w:color="auto"/>
            <w:left w:val="none" w:sz="0" w:space="0" w:color="auto"/>
            <w:bottom w:val="none" w:sz="0" w:space="0" w:color="auto"/>
            <w:right w:val="none" w:sz="0" w:space="0" w:color="auto"/>
          </w:divBdr>
        </w:div>
        <w:div w:id="714933162">
          <w:marLeft w:val="0"/>
          <w:marRight w:val="0"/>
          <w:marTop w:val="0"/>
          <w:marBottom w:val="0"/>
          <w:divBdr>
            <w:top w:val="none" w:sz="0" w:space="0" w:color="auto"/>
            <w:left w:val="none" w:sz="0" w:space="0" w:color="auto"/>
            <w:bottom w:val="none" w:sz="0" w:space="0" w:color="auto"/>
            <w:right w:val="none" w:sz="0" w:space="0" w:color="auto"/>
          </w:divBdr>
        </w:div>
        <w:div w:id="731854774">
          <w:marLeft w:val="0"/>
          <w:marRight w:val="0"/>
          <w:marTop w:val="0"/>
          <w:marBottom w:val="0"/>
          <w:divBdr>
            <w:top w:val="none" w:sz="0" w:space="0" w:color="auto"/>
            <w:left w:val="none" w:sz="0" w:space="0" w:color="auto"/>
            <w:bottom w:val="none" w:sz="0" w:space="0" w:color="auto"/>
            <w:right w:val="none" w:sz="0" w:space="0" w:color="auto"/>
          </w:divBdr>
        </w:div>
        <w:div w:id="751009494">
          <w:marLeft w:val="0"/>
          <w:marRight w:val="0"/>
          <w:marTop w:val="0"/>
          <w:marBottom w:val="0"/>
          <w:divBdr>
            <w:top w:val="none" w:sz="0" w:space="0" w:color="auto"/>
            <w:left w:val="none" w:sz="0" w:space="0" w:color="auto"/>
            <w:bottom w:val="none" w:sz="0" w:space="0" w:color="auto"/>
            <w:right w:val="none" w:sz="0" w:space="0" w:color="auto"/>
          </w:divBdr>
        </w:div>
        <w:div w:id="922298774">
          <w:marLeft w:val="0"/>
          <w:marRight w:val="0"/>
          <w:marTop w:val="0"/>
          <w:marBottom w:val="0"/>
          <w:divBdr>
            <w:top w:val="none" w:sz="0" w:space="0" w:color="auto"/>
            <w:left w:val="none" w:sz="0" w:space="0" w:color="auto"/>
            <w:bottom w:val="none" w:sz="0" w:space="0" w:color="auto"/>
            <w:right w:val="none" w:sz="0" w:space="0" w:color="auto"/>
          </w:divBdr>
          <w:divsChild>
            <w:div w:id="2006014577">
              <w:marLeft w:val="-75"/>
              <w:marRight w:val="0"/>
              <w:marTop w:val="30"/>
              <w:marBottom w:val="30"/>
              <w:divBdr>
                <w:top w:val="none" w:sz="0" w:space="0" w:color="auto"/>
                <w:left w:val="none" w:sz="0" w:space="0" w:color="auto"/>
                <w:bottom w:val="none" w:sz="0" w:space="0" w:color="auto"/>
                <w:right w:val="none" w:sz="0" w:space="0" w:color="auto"/>
              </w:divBdr>
              <w:divsChild>
                <w:div w:id="686056341">
                  <w:marLeft w:val="0"/>
                  <w:marRight w:val="0"/>
                  <w:marTop w:val="0"/>
                  <w:marBottom w:val="0"/>
                  <w:divBdr>
                    <w:top w:val="none" w:sz="0" w:space="0" w:color="auto"/>
                    <w:left w:val="none" w:sz="0" w:space="0" w:color="auto"/>
                    <w:bottom w:val="none" w:sz="0" w:space="0" w:color="auto"/>
                    <w:right w:val="none" w:sz="0" w:space="0" w:color="auto"/>
                  </w:divBdr>
                  <w:divsChild>
                    <w:div w:id="685638250">
                      <w:marLeft w:val="0"/>
                      <w:marRight w:val="0"/>
                      <w:marTop w:val="0"/>
                      <w:marBottom w:val="0"/>
                      <w:divBdr>
                        <w:top w:val="none" w:sz="0" w:space="0" w:color="auto"/>
                        <w:left w:val="none" w:sz="0" w:space="0" w:color="auto"/>
                        <w:bottom w:val="none" w:sz="0" w:space="0" w:color="auto"/>
                        <w:right w:val="none" w:sz="0" w:space="0" w:color="auto"/>
                      </w:divBdr>
                    </w:div>
                  </w:divsChild>
                </w:div>
                <w:div w:id="1783107161">
                  <w:marLeft w:val="0"/>
                  <w:marRight w:val="0"/>
                  <w:marTop w:val="0"/>
                  <w:marBottom w:val="0"/>
                  <w:divBdr>
                    <w:top w:val="none" w:sz="0" w:space="0" w:color="auto"/>
                    <w:left w:val="none" w:sz="0" w:space="0" w:color="auto"/>
                    <w:bottom w:val="none" w:sz="0" w:space="0" w:color="auto"/>
                    <w:right w:val="none" w:sz="0" w:space="0" w:color="auto"/>
                  </w:divBdr>
                  <w:divsChild>
                    <w:div w:id="1874347196">
                      <w:marLeft w:val="0"/>
                      <w:marRight w:val="0"/>
                      <w:marTop w:val="0"/>
                      <w:marBottom w:val="0"/>
                      <w:divBdr>
                        <w:top w:val="none" w:sz="0" w:space="0" w:color="auto"/>
                        <w:left w:val="none" w:sz="0" w:space="0" w:color="auto"/>
                        <w:bottom w:val="none" w:sz="0" w:space="0" w:color="auto"/>
                        <w:right w:val="none" w:sz="0" w:space="0" w:color="auto"/>
                      </w:divBdr>
                    </w:div>
                  </w:divsChild>
                </w:div>
                <w:div w:id="2062631712">
                  <w:marLeft w:val="0"/>
                  <w:marRight w:val="0"/>
                  <w:marTop w:val="0"/>
                  <w:marBottom w:val="0"/>
                  <w:divBdr>
                    <w:top w:val="none" w:sz="0" w:space="0" w:color="auto"/>
                    <w:left w:val="none" w:sz="0" w:space="0" w:color="auto"/>
                    <w:bottom w:val="none" w:sz="0" w:space="0" w:color="auto"/>
                    <w:right w:val="none" w:sz="0" w:space="0" w:color="auto"/>
                  </w:divBdr>
                  <w:divsChild>
                    <w:div w:id="17728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6173231">
          <w:marLeft w:val="0"/>
          <w:marRight w:val="0"/>
          <w:marTop w:val="0"/>
          <w:marBottom w:val="0"/>
          <w:divBdr>
            <w:top w:val="none" w:sz="0" w:space="0" w:color="auto"/>
            <w:left w:val="none" w:sz="0" w:space="0" w:color="auto"/>
            <w:bottom w:val="none" w:sz="0" w:space="0" w:color="auto"/>
            <w:right w:val="none" w:sz="0" w:space="0" w:color="auto"/>
          </w:divBdr>
        </w:div>
        <w:div w:id="1164975564">
          <w:marLeft w:val="0"/>
          <w:marRight w:val="0"/>
          <w:marTop w:val="0"/>
          <w:marBottom w:val="0"/>
          <w:divBdr>
            <w:top w:val="none" w:sz="0" w:space="0" w:color="auto"/>
            <w:left w:val="none" w:sz="0" w:space="0" w:color="auto"/>
            <w:bottom w:val="none" w:sz="0" w:space="0" w:color="auto"/>
            <w:right w:val="none" w:sz="0" w:space="0" w:color="auto"/>
          </w:divBdr>
        </w:div>
        <w:div w:id="1267880996">
          <w:marLeft w:val="0"/>
          <w:marRight w:val="0"/>
          <w:marTop w:val="0"/>
          <w:marBottom w:val="0"/>
          <w:divBdr>
            <w:top w:val="none" w:sz="0" w:space="0" w:color="auto"/>
            <w:left w:val="none" w:sz="0" w:space="0" w:color="auto"/>
            <w:bottom w:val="none" w:sz="0" w:space="0" w:color="auto"/>
            <w:right w:val="none" w:sz="0" w:space="0" w:color="auto"/>
          </w:divBdr>
        </w:div>
        <w:div w:id="1602378387">
          <w:marLeft w:val="0"/>
          <w:marRight w:val="0"/>
          <w:marTop w:val="0"/>
          <w:marBottom w:val="0"/>
          <w:divBdr>
            <w:top w:val="none" w:sz="0" w:space="0" w:color="auto"/>
            <w:left w:val="none" w:sz="0" w:space="0" w:color="auto"/>
            <w:bottom w:val="none" w:sz="0" w:space="0" w:color="auto"/>
            <w:right w:val="none" w:sz="0" w:space="0" w:color="auto"/>
          </w:divBdr>
        </w:div>
        <w:div w:id="1683629079">
          <w:marLeft w:val="0"/>
          <w:marRight w:val="0"/>
          <w:marTop w:val="0"/>
          <w:marBottom w:val="0"/>
          <w:divBdr>
            <w:top w:val="none" w:sz="0" w:space="0" w:color="auto"/>
            <w:left w:val="none" w:sz="0" w:space="0" w:color="auto"/>
            <w:bottom w:val="none" w:sz="0" w:space="0" w:color="auto"/>
            <w:right w:val="none" w:sz="0" w:space="0" w:color="auto"/>
          </w:divBdr>
        </w:div>
        <w:div w:id="1767312711">
          <w:marLeft w:val="0"/>
          <w:marRight w:val="0"/>
          <w:marTop w:val="0"/>
          <w:marBottom w:val="0"/>
          <w:divBdr>
            <w:top w:val="none" w:sz="0" w:space="0" w:color="auto"/>
            <w:left w:val="none" w:sz="0" w:space="0" w:color="auto"/>
            <w:bottom w:val="none" w:sz="0" w:space="0" w:color="auto"/>
            <w:right w:val="none" w:sz="0" w:space="0" w:color="auto"/>
          </w:divBdr>
          <w:divsChild>
            <w:div w:id="1595624880">
              <w:marLeft w:val="-75"/>
              <w:marRight w:val="0"/>
              <w:marTop w:val="30"/>
              <w:marBottom w:val="30"/>
              <w:divBdr>
                <w:top w:val="none" w:sz="0" w:space="0" w:color="auto"/>
                <w:left w:val="none" w:sz="0" w:space="0" w:color="auto"/>
                <w:bottom w:val="none" w:sz="0" w:space="0" w:color="auto"/>
                <w:right w:val="none" w:sz="0" w:space="0" w:color="auto"/>
              </w:divBdr>
              <w:divsChild>
                <w:div w:id="58094017">
                  <w:marLeft w:val="0"/>
                  <w:marRight w:val="0"/>
                  <w:marTop w:val="0"/>
                  <w:marBottom w:val="0"/>
                  <w:divBdr>
                    <w:top w:val="none" w:sz="0" w:space="0" w:color="auto"/>
                    <w:left w:val="none" w:sz="0" w:space="0" w:color="auto"/>
                    <w:bottom w:val="none" w:sz="0" w:space="0" w:color="auto"/>
                    <w:right w:val="none" w:sz="0" w:space="0" w:color="auto"/>
                  </w:divBdr>
                  <w:divsChild>
                    <w:div w:id="868495560">
                      <w:marLeft w:val="0"/>
                      <w:marRight w:val="0"/>
                      <w:marTop w:val="0"/>
                      <w:marBottom w:val="0"/>
                      <w:divBdr>
                        <w:top w:val="none" w:sz="0" w:space="0" w:color="auto"/>
                        <w:left w:val="none" w:sz="0" w:space="0" w:color="auto"/>
                        <w:bottom w:val="none" w:sz="0" w:space="0" w:color="auto"/>
                        <w:right w:val="none" w:sz="0" w:space="0" w:color="auto"/>
                      </w:divBdr>
                    </w:div>
                  </w:divsChild>
                </w:div>
                <w:div w:id="78648900">
                  <w:marLeft w:val="0"/>
                  <w:marRight w:val="0"/>
                  <w:marTop w:val="0"/>
                  <w:marBottom w:val="0"/>
                  <w:divBdr>
                    <w:top w:val="none" w:sz="0" w:space="0" w:color="auto"/>
                    <w:left w:val="none" w:sz="0" w:space="0" w:color="auto"/>
                    <w:bottom w:val="none" w:sz="0" w:space="0" w:color="auto"/>
                    <w:right w:val="none" w:sz="0" w:space="0" w:color="auto"/>
                  </w:divBdr>
                  <w:divsChild>
                    <w:div w:id="1410955549">
                      <w:marLeft w:val="0"/>
                      <w:marRight w:val="0"/>
                      <w:marTop w:val="0"/>
                      <w:marBottom w:val="0"/>
                      <w:divBdr>
                        <w:top w:val="none" w:sz="0" w:space="0" w:color="auto"/>
                        <w:left w:val="none" w:sz="0" w:space="0" w:color="auto"/>
                        <w:bottom w:val="none" w:sz="0" w:space="0" w:color="auto"/>
                        <w:right w:val="none" w:sz="0" w:space="0" w:color="auto"/>
                      </w:divBdr>
                    </w:div>
                    <w:div w:id="1644315368">
                      <w:marLeft w:val="0"/>
                      <w:marRight w:val="0"/>
                      <w:marTop w:val="0"/>
                      <w:marBottom w:val="0"/>
                      <w:divBdr>
                        <w:top w:val="none" w:sz="0" w:space="0" w:color="auto"/>
                        <w:left w:val="none" w:sz="0" w:space="0" w:color="auto"/>
                        <w:bottom w:val="none" w:sz="0" w:space="0" w:color="auto"/>
                        <w:right w:val="none" w:sz="0" w:space="0" w:color="auto"/>
                      </w:divBdr>
                    </w:div>
                  </w:divsChild>
                </w:div>
                <w:div w:id="104160335">
                  <w:marLeft w:val="0"/>
                  <w:marRight w:val="0"/>
                  <w:marTop w:val="0"/>
                  <w:marBottom w:val="0"/>
                  <w:divBdr>
                    <w:top w:val="none" w:sz="0" w:space="0" w:color="auto"/>
                    <w:left w:val="none" w:sz="0" w:space="0" w:color="auto"/>
                    <w:bottom w:val="none" w:sz="0" w:space="0" w:color="auto"/>
                    <w:right w:val="none" w:sz="0" w:space="0" w:color="auto"/>
                  </w:divBdr>
                  <w:divsChild>
                    <w:div w:id="802574422">
                      <w:marLeft w:val="0"/>
                      <w:marRight w:val="0"/>
                      <w:marTop w:val="0"/>
                      <w:marBottom w:val="0"/>
                      <w:divBdr>
                        <w:top w:val="none" w:sz="0" w:space="0" w:color="auto"/>
                        <w:left w:val="none" w:sz="0" w:space="0" w:color="auto"/>
                        <w:bottom w:val="none" w:sz="0" w:space="0" w:color="auto"/>
                        <w:right w:val="none" w:sz="0" w:space="0" w:color="auto"/>
                      </w:divBdr>
                    </w:div>
                  </w:divsChild>
                </w:div>
                <w:div w:id="133252904">
                  <w:marLeft w:val="0"/>
                  <w:marRight w:val="0"/>
                  <w:marTop w:val="0"/>
                  <w:marBottom w:val="0"/>
                  <w:divBdr>
                    <w:top w:val="none" w:sz="0" w:space="0" w:color="auto"/>
                    <w:left w:val="none" w:sz="0" w:space="0" w:color="auto"/>
                    <w:bottom w:val="none" w:sz="0" w:space="0" w:color="auto"/>
                    <w:right w:val="none" w:sz="0" w:space="0" w:color="auto"/>
                  </w:divBdr>
                  <w:divsChild>
                    <w:div w:id="1978295590">
                      <w:marLeft w:val="0"/>
                      <w:marRight w:val="0"/>
                      <w:marTop w:val="0"/>
                      <w:marBottom w:val="0"/>
                      <w:divBdr>
                        <w:top w:val="none" w:sz="0" w:space="0" w:color="auto"/>
                        <w:left w:val="none" w:sz="0" w:space="0" w:color="auto"/>
                        <w:bottom w:val="none" w:sz="0" w:space="0" w:color="auto"/>
                        <w:right w:val="none" w:sz="0" w:space="0" w:color="auto"/>
                      </w:divBdr>
                    </w:div>
                  </w:divsChild>
                </w:div>
                <w:div w:id="143547730">
                  <w:marLeft w:val="0"/>
                  <w:marRight w:val="0"/>
                  <w:marTop w:val="0"/>
                  <w:marBottom w:val="0"/>
                  <w:divBdr>
                    <w:top w:val="none" w:sz="0" w:space="0" w:color="auto"/>
                    <w:left w:val="none" w:sz="0" w:space="0" w:color="auto"/>
                    <w:bottom w:val="none" w:sz="0" w:space="0" w:color="auto"/>
                    <w:right w:val="none" w:sz="0" w:space="0" w:color="auto"/>
                  </w:divBdr>
                  <w:divsChild>
                    <w:div w:id="373044415">
                      <w:marLeft w:val="0"/>
                      <w:marRight w:val="0"/>
                      <w:marTop w:val="0"/>
                      <w:marBottom w:val="0"/>
                      <w:divBdr>
                        <w:top w:val="none" w:sz="0" w:space="0" w:color="auto"/>
                        <w:left w:val="none" w:sz="0" w:space="0" w:color="auto"/>
                        <w:bottom w:val="none" w:sz="0" w:space="0" w:color="auto"/>
                        <w:right w:val="none" w:sz="0" w:space="0" w:color="auto"/>
                      </w:divBdr>
                    </w:div>
                    <w:div w:id="754480030">
                      <w:marLeft w:val="0"/>
                      <w:marRight w:val="0"/>
                      <w:marTop w:val="0"/>
                      <w:marBottom w:val="0"/>
                      <w:divBdr>
                        <w:top w:val="none" w:sz="0" w:space="0" w:color="auto"/>
                        <w:left w:val="none" w:sz="0" w:space="0" w:color="auto"/>
                        <w:bottom w:val="none" w:sz="0" w:space="0" w:color="auto"/>
                        <w:right w:val="none" w:sz="0" w:space="0" w:color="auto"/>
                      </w:divBdr>
                    </w:div>
                    <w:div w:id="831533266">
                      <w:marLeft w:val="0"/>
                      <w:marRight w:val="0"/>
                      <w:marTop w:val="0"/>
                      <w:marBottom w:val="0"/>
                      <w:divBdr>
                        <w:top w:val="none" w:sz="0" w:space="0" w:color="auto"/>
                        <w:left w:val="none" w:sz="0" w:space="0" w:color="auto"/>
                        <w:bottom w:val="none" w:sz="0" w:space="0" w:color="auto"/>
                        <w:right w:val="none" w:sz="0" w:space="0" w:color="auto"/>
                      </w:divBdr>
                    </w:div>
                  </w:divsChild>
                </w:div>
                <w:div w:id="147092686">
                  <w:marLeft w:val="0"/>
                  <w:marRight w:val="0"/>
                  <w:marTop w:val="0"/>
                  <w:marBottom w:val="0"/>
                  <w:divBdr>
                    <w:top w:val="none" w:sz="0" w:space="0" w:color="auto"/>
                    <w:left w:val="none" w:sz="0" w:space="0" w:color="auto"/>
                    <w:bottom w:val="none" w:sz="0" w:space="0" w:color="auto"/>
                    <w:right w:val="none" w:sz="0" w:space="0" w:color="auto"/>
                  </w:divBdr>
                  <w:divsChild>
                    <w:div w:id="1897819411">
                      <w:marLeft w:val="0"/>
                      <w:marRight w:val="0"/>
                      <w:marTop w:val="0"/>
                      <w:marBottom w:val="0"/>
                      <w:divBdr>
                        <w:top w:val="none" w:sz="0" w:space="0" w:color="auto"/>
                        <w:left w:val="none" w:sz="0" w:space="0" w:color="auto"/>
                        <w:bottom w:val="none" w:sz="0" w:space="0" w:color="auto"/>
                        <w:right w:val="none" w:sz="0" w:space="0" w:color="auto"/>
                      </w:divBdr>
                    </w:div>
                  </w:divsChild>
                </w:div>
                <w:div w:id="415250469">
                  <w:marLeft w:val="0"/>
                  <w:marRight w:val="0"/>
                  <w:marTop w:val="0"/>
                  <w:marBottom w:val="0"/>
                  <w:divBdr>
                    <w:top w:val="none" w:sz="0" w:space="0" w:color="auto"/>
                    <w:left w:val="none" w:sz="0" w:space="0" w:color="auto"/>
                    <w:bottom w:val="none" w:sz="0" w:space="0" w:color="auto"/>
                    <w:right w:val="none" w:sz="0" w:space="0" w:color="auto"/>
                  </w:divBdr>
                  <w:divsChild>
                    <w:div w:id="1032534257">
                      <w:marLeft w:val="0"/>
                      <w:marRight w:val="0"/>
                      <w:marTop w:val="0"/>
                      <w:marBottom w:val="0"/>
                      <w:divBdr>
                        <w:top w:val="none" w:sz="0" w:space="0" w:color="auto"/>
                        <w:left w:val="none" w:sz="0" w:space="0" w:color="auto"/>
                        <w:bottom w:val="none" w:sz="0" w:space="0" w:color="auto"/>
                        <w:right w:val="none" w:sz="0" w:space="0" w:color="auto"/>
                      </w:divBdr>
                    </w:div>
                  </w:divsChild>
                </w:div>
                <w:div w:id="491675059">
                  <w:marLeft w:val="0"/>
                  <w:marRight w:val="0"/>
                  <w:marTop w:val="0"/>
                  <w:marBottom w:val="0"/>
                  <w:divBdr>
                    <w:top w:val="none" w:sz="0" w:space="0" w:color="auto"/>
                    <w:left w:val="none" w:sz="0" w:space="0" w:color="auto"/>
                    <w:bottom w:val="none" w:sz="0" w:space="0" w:color="auto"/>
                    <w:right w:val="none" w:sz="0" w:space="0" w:color="auto"/>
                  </w:divBdr>
                  <w:divsChild>
                    <w:div w:id="691539619">
                      <w:marLeft w:val="0"/>
                      <w:marRight w:val="0"/>
                      <w:marTop w:val="0"/>
                      <w:marBottom w:val="0"/>
                      <w:divBdr>
                        <w:top w:val="none" w:sz="0" w:space="0" w:color="auto"/>
                        <w:left w:val="none" w:sz="0" w:space="0" w:color="auto"/>
                        <w:bottom w:val="none" w:sz="0" w:space="0" w:color="auto"/>
                        <w:right w:val="none" w:sz="0" w:space="0" w:color="auto"/>
                      </w:divBdr>
                    </w:div>
                  </w:divsChild>
                </w:div>
                <w:div w:id="523637743">
                  <w:marLeft w:val="0"/>
                  <w:marRight w:val="0"/>
                  <w:marTop w:val="0"/>
                  <w:marBottom w:val="0"/>
                  <w:divBdr>
                    <w:top w:val="none" w:sz="0" w:space="0" w:color="auto"/>
                    <w:left w:val="none" w:sz="0" w:space="0" w:color="auto"/>
                    <w:bottom w:val="none" w:sz="0" w:space="0" w:color="auto"/>
                    <w:right w:val="none" w:sz="0" w:space="0" w:color="auto"/>
                  </w:divBdr>
                  <w:divsChild>
                    <w:div w:id="777719666">
                      <w:marLeft w:val="0"/>
                      <w:marRight w:val="0"/>
                      <w:marTop w:val="0"/>
                      <w:marBottom w:val="0"/>
                      <w:divBdr>
                        <w:top w:val="none" w:sz="0" w:space="0" w:color="auto"/>
                        <w:left w:val="none" w:sz="0" w:space="0" w:color="auto"/>
                        <w:bottom w:val="none" w:sz="0" w:space="0" w:color="auto"/>
                        <w:right w:val="none" w:sz="0" w:space="0" w:color="auto"/>
                      </w:divBdr>
                    </w:div>
                  </w:divsChild>
                </w:div>
                <w:div w:id="548031274">
                  <w:marLeft w:val="0"/>
                  <w:marRight w:val="0"/>
                  <w:marTop w:val="0"/>
                  <w:marBottom w:val="0"/>
                  <w:divBdr>
                    <w:top w:val="none" w:sz="0" w:space="0" w:color="auto"/>
                    <w:left w:val="none" w:sz="0" w:space="0" w:color="auto"/>
                    <w:bottom w:val="none" w:sz="0" w:space="0" w:color="auto"/>
                    <w:right w:val="none" w:sz="0" w:space="0" w:color="auto"/>
                  </w:divBdr>
                  <w:divsChild>
                    <w:div w:id="1404135045">
                      <w:marLeft w:val="0"/>
                      <w:marRight w:val="0"/>
                      <w:marTop w:val="0"/>
                      <w:marBottom w:val="0"/>
                      <w:divBdr>
                        <w:top w:val="none" w:sz="0" w:space="0" w:color="auto"/>
                        <w:left w:val="none" w:sz="0" w:space="0" w:color="auto"/>
                        <w:bottom w:val="none" w:sz="0" w:space="0" w:color="auto"/>
                        <w:right w:val="none" w:sz="0" w:space="0" w:color="auto"/>
                      </w:divBdr>
                    </w:div>
                  </w:divsChild>
                </w:div>
                <w:div w:id="622731158">
                  <w:marLeft w:val="0"/>
                  <w:marRight w:val="0"/>
                  <w:marTop w:val="0"/>
                  <w:marBottom w:val="0"/>
                  <w:divBdr>
                    <w:top w:val="none" w:sz="0" w:space="0" w:color="auto"/>
                    <w:left w:val="none" w:sz="0" w:space="0" w:color="auto"/>
                    <w:bottom w:val="none" w:sz="0" w:space="0" w:color="auto"/>
                    <w:right w:val="none" w:sz="0" w:space="0" w:color="auto"/>
                  </w:divBdr>
                  <w:divsChild>
                    <w:div w:id="478619241">
                      <w:marLeft w:val="0"/>
                      <w:marRight w:val="0"/>
                      <w:marTop w:val="0"/>
                      <w:marBottom w:val="0"/>
                      <w:divBdr>
                        <w:top w:val="none" w:sz="0" w:space="0" w:color="auto"/>
                        <w:left w:val="none" w:sz="0" w:space="0" w:color="auto"/>
                        <w:bottom w:val="none" w:sz="0" w:space="0" w:color="auto"/>
                        <w:right w:val="none" w:sz="0" w:space="0" w:color="auto"/>
                      </w:divBdr>
                    </w:div>
                  </w:divsChild>
                </w:div>
                <w:div w:id="644089168">
                  <w:marLeft w:val="0"/>
                  <w:marRight w:val="0"/>
                  <w:marTop w:val="0"/>
                  <w:marBottom w:val="0"/>
                  <w:divBdr>
                    <w:top w:val="none" w:sz="0" w:space="0" w:color="auto"/>
                    <w:left w:val="none" w:sz="0" w:space="0" w:color="auto"/>
                    <w:bottom w:val="none" w:sz="0" w:space="0" w:color="auto"/>
                    <w:right w:val="none" w:sz="0" w:space="0" w:color="auto"/>
                  </w:divBdr>
                  <w:divsChild>
                    <w:div w:id="163590609">
                      <w:marLeft w:val="0"/>
                      <w:marRight w:val="0"/>
                      <w:marTop w:val="0"/>
                      <w:marBottom w:val="0"/>
                      <w:divBdr>
                        <w:top w:val="none" w:sz="0" w:space="0" w:color="auto"/>
                        <w:left w:val="none" w:sz="0" w:space="0" w:color="auto"/>
                        <w:bottom w:val="none" w:sz="0" w:space="0" w:color="auto"/>
                        <w:right w:val="none" w:sz="0" w:space="0" w:color="auto"/>
                      </w:divBdr>
                    </w:div>
                  </w:divsChild>
                </w:div>
                <w:div w:id="804394316">
                  <w:marLeft w:val="0"/>
                  <w:marRight w:val="0"/>
                  <w:marTop w:val="0"/>
                  <w:marBottom w:val="0"/>
                  <w:divBdr>
                    <w:top w:val="none" w:sz="0" w:space="0" w:color="auto"/>
                    <w:left w:val="none" w:sz="0" w:space="0" w:color="auto"/>
                    <w:bottom w:val="none" w:sz="0" w:space="0" w:color="auto"/>
                    <w:right w:val="none" w:sz="0" w:space="0" w:color="auto"/>
                  </w:divBdr>
                  <w:divsChild>
                    <w:div w:id="1292395048">
                      <w:marLeft w:val="0"/>
                      <w:marRight w:val="0"/>
                      <w:marTop w:val="0"/>
                      <w:marBottom w:val="0"/>
                      <w:divBdr>
                        <w:top w:val="none" w:sz="0" w:space="0" w:color="auto"/>
                        <w:left w:val="none" w:sz="0" w:space="0" w:color="auto"/>
                        <w:bottom w:val="none" w:sz="0" w:space="0" w:color="auto"/>
                        <w:right w:val="none" w:sz="0" w:space="0" w:color="auto"/>
                      </w:divBdr>
                    </w:div>
                  </w:divsChild>
                </w:div>
                <w:div w:id="912012904">
                  <w:marLeft w:val="0"/>
                  <w:marRight w:val="0"/>
                  <w:marTop w:val="0"/>
                  <w:marBottom w:val="0"/>
                  <w:divBdr>
                    <w:top w:val="none" w:sz="0" w:space="0" w:color="auto"/>
                    <w:left w:val="none" w:sz="0" w:space="0" w:color="auto"/>
                    <w:bottom w:val="none" w:sz="0" w:space="0" w:color="auto"/>
                    <w:right w:val="none" w:sz="0" w:space="0" w:color="auto"/>
                  </w:divBdr>
                  <w:divsChild>
                    <w:div w:id="402409031">
                      <w:marLeft w:val="0"/>
                      <w:marRight w:val="0"/>
                      <w:marTop w:val="0"/>
                      <w:marBottom w:val="0"/>
                      <w:divBdr>
                        <w:top w:val="none" w:sz="0" w:space="0" w:color="auto"/>
                        <w:left w:val="none" w:sz="0" w:space="0" w:color="auto"/>
                        <w:bottom w:val="none" w:sz="0" w:space="0" w:color="auto"/>
                        <w:right w:val="none" w:sz="0" w:space="0" w:color="auto"/>
                      </w:divBdr>
                    </w:div>
                  </w:divsChild>
                </w:div>
                <w:div w:id="1108702191">
                  <w:marLeft w:val="0"/>
                  <w:marRight w:val="0"/>
                  <w:marTop w:val="0"/>
                  <w:marBottom w:val="0"/>
                  <w:divBdr>
                    <w:top w:val="none" w:sz="0" w:space="0" w:color="auto"/>
                    <w:left w:val="none" w:sz="0" w:space="0" w:color="auto"/>
                    <w:bottom w:val="none" w:sz="0" w:space="0" w:color="auto"/>
                    <w:right w:val="none" w:sz="0" w:space="0" w:color="auto"/>
                  </w:divBdr>
                  <w:divsChild>
                    <w:div w:id="1693264207">
                      <w:marLeft w:val="0"/>
                      <w:marRight w:val="0"/>
                      <w:marTop w:val="0"/>
                      <w:marBottom w:val="0"/>
                      <w:divBdr>
                        <w:top w:val="none" w:sz="0" w:space="0" w:color="auto"/>
                        <w:left w:val="none" w:sz="0" w:space="0" w:color="auto"/>
                        <w:bottom w:val="none" w:sz="0" w:space="0" w:color="auto"/>
                        <w:right w:val="none" w:sz="0" w:space="0" w:color="auto"/>
                      </w:divBdr>
                    </w:div>
                  </w:divsChild>
                </w:div>
                <w:div w:id="1291479660">
                  <w:marLeft w:val="0"/>
                  <w:marRight w:val="0"/>
                  <w:marTop w:val="0"/>
                  <w:marBottom w:val="0"/>
                  <w:divBdr>
                    <w:top w:val="none" w:sz="0" w:space="0" w:color="auto"/>
                    <w:left w:val="none" w:sz="0" w:space="0" w:color="auto"/>
                    <w:bottom w:val="none" w:sz="0" w:space="0" w:color="auto"/>
                    <w:right w:val="none" w:sz="0" w:space="0" w:color="auto"/>
                  </w:divBdr>
                  <w:divsChild>
                    <w:div w:id="1215314673">
                      <w:marLeft w:val="0"/>
                      <w:marRight w:val="0"/>
                      <w:marTop w:val="0"/>
                      <w:marBottom w:val="0"/>
                      <w:divBdr>
                        <w:top w:val="none" w:sz="0" w:space="0" w:color="auto"/>
                        <w:left w:val="none" w:sz="0" w:space="0" w:color="auto"/>
                        <w:bottom w:val="none" w:sz="0" w:space="0" w:color="auto"/>
                        <w:right w:val="none" w:sz="0" w:space="0" w:color="auto"/>
                      </w:divBdr>
                    </w:div>
                  </w:divsChild>
                </w:div>
                <w:div w:id="1387534032">
                  <w:marLeft w:val="0"/>
                  <w:marRight w:val="0"/>
                  <w:marTop w:val="0"/>
                  <w:marBottom w:val="0"/>
                  <w:divBdr>
                    <w:top w:val="none" w:sz="0" w:space="0" w:color="auto"/>
                    <w:left w:val="none" w:sz="0" w:space="0" w:color="auto"/>
                    <w:bottom w:val="none" w:sz="0" w:space="0" w:color="auto"/>
                    <w:right w:val="none" w:sz="0" w:space="0" w:color="auto"/>
                  </w:divBdr>
                  <w:divsChild>
                    <w:div w:id="206456068">
                      <w:marLeft w:val="0"/>
                      <w:marRight w:val="0"/>
                      <w:marTop w:val="0"/>
                      <w:marBottom w:val="0"/>
                      <w:divBdr>
                        <w:top w:val="none" w:sz="0" w:space="0" w:color="auto"/>
                        <w:left w:val="none" w:sz="0" w:space="0" w:color="auto"/>
                        <w:bottom w:val="none" w:sz="0" w:space="0" w:color="auto"/>
                        <w:right w:val="none" w:sz="0" w:space="0" w:color="auto"/>
                      </w:divBdr>
                    </w:div>
                  </w:divsChild>
                </w:div>
                <w:div w:id="1495411108">
                  <w:marLeft w:val="0"/>
                  <w:marRight w:val="0"/>
                  <w:marTop w:val="0"/>
                  <w:marBottom w:val="0"/>
                  <w:divBdr>
                    <w:top w:val="none" w:sz="0" w:space="0" w:color="auto"/>
                    <w:left w:val="none" w:sz="0" w:space="0" w:color="auto"/>
                    <w:bottom w:val="none" w:sz="0" w:space="0" w:color="auto"/>
                    <w:right w:val="none" w:sz="0" w:space="0" w:color="auto"/>
                  </w:divBdr>
                  <w:divsChild>
                    <w:div w:id="1380782250">
                      <w:marLeft w:val="0"/>
                      <w:marRight w:val="0"/>
                      <w:marTop w:val="0"/>
                      <w:marBottom w:val="0"/>
                      <w:divBdr>
                        <w:top w:val="none" w:sz="0" w:space="0" w:color="auto"/>
                        <w:left w:val="none" w:sz="0" w:space="0" w:color="auto"/>
                        <w:bottom w:val="none" w:sz="0" w:space="0" w:color="auto"/>
                        <w:right w:val="none" w:sz="0" w:space="0" w:color="auto"/>
                      </w:divBdr>
                    </w:div>
                  </w:divsChild>
                </w:div>
                <w:div w:id="1539396627">
                  <w:marLeft w:val="0"/>
                  <w:marRight w:val="0"/>
                  <w:marTop w:val="0"/>
                  <w:marBottom w:val="0"/>
                  <w:divBdr>
                    <w:top w:val="none" w:sz="0" w:space="0" w:color="auto"/>
                    <w:left w:val="none" w:sz="0" w:space="0" w:color="auto"/>
                    <w:bottom w:val="none" w:sz="0" w:space="0" w:color="auto"/>
                    <w:right w:val="none" w:sz="0" w:space="0" w:color="auto"/>
                  </w:divBdr>
                  <w:divsChild>
                    <w:div w:id="377047732">
                      <w:marLeft w:val="0"/>
                      <w:marRight w:val="0"/>
                      <w:marTop w:val="0"/>
                      <w:marBottom w:val="0"/>
                      <w:divBdr>
                        <w:top w:val="none" w:sz="0" w:space="0" w:color="auto"/>
                        <w:left w:val="none" w:sz="0" w:space="0" w:color="auto"/>
                        <w:bottom w:val="none" w:sz="0" w:space="0" w:color="auto"/>
                        <w:right w:val="none" w:sz="0" w:space="0" w:color="auto"/>
                      </w:divBdr>
                    </w:div>
                    <w:div w:id="1332222166">
                      <w:marLeft w:val="0"/>
                      <w:marRight w:val="0"/>
                      <w:marTop w:val="0"/>
                      <w:marBottom w:val="0"/>
                      <w:divBdr>
                        <w:top w:val="none" w:sz="0" w:space="0" w:color="auto"/>
                        <w:left w:val="none" w:sz="0" w:space="0" w:color="auto"/>
                        <w:bottom w:val="none" w:sz="0" w:space="0" w:color="auto"/>
                        <w:right w:val="none" w:sz="0" w:space="0" w:color="auto"/>
                      </w:divBdr>
                    </w:div>
                    <w:div w:id="1898203306">
                      <w:marLeft w:val="0"/>
                      <w:marRight w:val="0"/>
                      <w:marTop w:val="0"/>
                      <w:marBottom w:val="0"/>
                      <w:divBdr>
                        <w:top w:val="none" w:sz="0" w:space="0" w:color="auto"/>
                        <w:left w:val="none" w:sz="0" w:space="0" w:color="auto"/>
                        <w:bottom w:val="none" w:sz="0" w:space="0" w:color="auto"/>
                        <w:right w:val="none" w:sz="0" w:space="0" w:color="auto"/>
                      </w:divBdr>
                    </w:div>
                  </w:divsChild>
                </w:div>
                <w:div w:id="1670599003">
                  <w:marLeft w:val="0"/>
                  <w:marRight w:val="0"/>
                  <w:marTop w:val="0"/>
                  <w:marBottom w:val="0"/>
                  <w:divBdr>
                    <w:top w:val="none" w:sz="0" w:space="0" w:color="auto"/>
                    <w:left w:val="none" w:sz="0" w:space="0" w:color="auto"/>
                    <w:bottom w:val="none" w:sz="0" w:space="0" w:color="auto"/>
                    <w:right w:val="none" w:sz="0" w:space="0" w:color="auto"/>
                  </w:divBdr>
                  <w:divsChild>
                    <w:div w:id="1053886847">
                      <w:marLeft w:val="0"/>
                      <w:marRight w:val="0"/>
                      <w:marTop w:val="0"/>
                      <w:marBottom w:val="0"/>
                      <w:divBdr>
                        <w:top w:val="none" w:sz="0" w:space="0" w:color="auto"/>
                        <w:left w:val="none" w:sz="0" w:space="0" w:color="auto"/>
                        <w:bottom w:val="none" w:sz="0" w:space="0" w:color="auto"/>
                        <w:right w:val="none" w:sz="0" w:space="0" w:color="auto"/>
                      </w:divBdr>
                    </w:div>
                  </w:divsChild>
                </w:div>
                <w:div w:id="1713578486">
                  <w:marLeft w:val="0"/>
                  <w:marRight w:val="0"/>
                  <w:marTop w:val="0"/>
                  <w:marBottom w:val="0"/>
                  <w:divBdr>
                    <w:top w:val="none" w:sz="0" w:space="0" w:color="auto"/>
                    <w:left w:val="none" w:sz="0" w:space="0" w:color="auto"/>
                    <w:bottom w:val="none" w:sz="0" w:space="0" w:color="auto"/>
                    <w:right w:val="none" w:sz="0" w:space="0" w:color="auto"/>
                  </w:divBdr>
                  <w:divsChild>
                    <w:div w:id="690691380">
                      <w:marLeft w:val="0"/>
                      <w:marRight w:val="0"/>
                      <w:marTop w:val="0"/>
                      <w:marBottom w:val="0"/>
                      <w:divBdr>
                        <w:top w:val="none" w:sz="0" w:space="0" w:color="auto"/>
                        <w:left w:val="none" w:sz="0" w:space="0" w:color="auto"/>
                        <w:bottom w:val="none" w:sz="0" w:space="0" w:color="auto"/>
                        <w:right w:val="none" w:sz="0" w:space="0" w:color="auto"/>
                      </w:divBdr>
                    </w:div>
                    <w:div w:id="1237663402">
                      <w:marLeft w:val="0"/>
                      <w:marRight w:val="0"/>
                      <w:marTop w:val="0"/>
                      <w:marBottom w:val="0"/>
                      <w:divBdr>
                        <w:top w:val="none" w:sz="0" w:space="0" w:color="auto"/>
                        <w:left w:val="none" w:sz="0" w:space="0" w:color="auto"/>
                        <w:bottom w:val="none" w:sz="0" w:space="0" w:color="auto"/>
                        <w:right w:val="none" w:sz="0" w:space="0" w:color="auto"/>
                      </w:divBdr>
                    </w:div>
                    <w:div w:id="1349604480">
                      <w:marLeft w:val="0"/>
                      <w:marRight w:val="0"/>
                      <w:marTop w:val="0"/>
                      <w:marBottom w:val="0"/>
                      <w:divBdr>
                        <w:top w:val="none" w:sz="0" w:space="0" w:color="auto"/>
                        <w:left w:val="none" w:sz="0" w:space="0" w:color="auto"/>
                        <w:bottom w:val="none" w:sz="0" w:space="0" w:color="auto"/>
                        <w:right w:val="none" w:sz="0" w:space="0" w:color="auto"/>
                      </w:divBdr>
                    </w:div>
                  </w:divsChild>
                </w:div>
                <w:div w:id="1932275821">
                  <w:marLeft w:val="0"/>
                  <w:marRight w:val="0"/>
                  <w:marTop w:val="0"/>
                  <w:marBottom w:val="0"/>
                  <w:divBdr>
                    <w:top w:val="none" w:sz="0" w:space="0" w:color="auto"/>
                    <w:left w:val="none" w:sz="0" w:space="0" w:color="auto"/>
                    <w:bottom w:val="none" w:sz="0" w:space="0" w:color="auto"/>
                    <w:right w:val="none" w:sz="0" w:space="0" w:color="auto"/>
                  </w:divBdr>
                  <w:divsChild>
                    <w:div w:id="1404177912">
                      <w:marLeft w:val="0"/>
                      <w:marRight w:val="0"/>
                      <w:marTop w:val="0"/>
                      <w:marBottom w:val="0"/>
                      <w:divBdr>
                        <w:top w:val="none" w:sz="0" w:space="0" w:color="auto"/>
                        <w:left w:val="none" w:sz="0" w:space="0" w:color="auto"/>
                        <w:bottom w:val="none" w:sz="0" w:space="0" w:color="auto"/>
                        <w:right w:val="none" w:sz="0" w:space="0" w:color="auto"/>
                      </w:divBdr>
                    </w:div>
                  </w:divsChild>
                </w:div>
                <w:div w:id="2137408784">
                  <w:marLeft w:val="0"/>
                  <w:marRight w:val="0"/>
                  <w:marTop w:val="0"/>
                  <w:marBottom w:val="0"/>
                  <w:divBdr>
                    <w:top w:val="none" w:sz="0" w:space="0" w:color="auto"/>
                    <w:left w:val="none" w:sz="0" w:space="0" w:color="auto"/>
                    <w:bottom w:val="none" w:sz="0" w:space="0" w:color="auto"/>
                    <w:right w:val="none" w:sz="0" w:space="0" w:color="auto"/>
                  </w:divBdr>
                  <w:divsChild>
                    <w:div w:id="66417775">
                      <w:marLeft w:val="0"/>
                      <w:marRight w:val="0"/>
                      <w:marTop w:val="0"/>
                      <w:marBottom w:val="0"/>
                      <w:divBdr>
                        <w:top w:val="none" w:sz="0" w:space="0" w:color="auto"/>
                        <w:left w:val="none" w:sz="0" w:space="0" w:color="auto"/>
                        <w:bottom w:val="none" w:sz="0" w:space="0" w:color="auto"/>
                        <w:right w:val="none" w:sz="0" w:space="0" w:color="auto"/>
                      </w:divBdr>
                    </w:div>
                    <w:div w:id="628902239">
                      <w:marLeft w:val="0"/>
                      <w:marRight w:val="0"/>
                      <w:marTop w:val="0"/>
                      <w:marBottom w:val="0"/>
                      <w:divBdr>
                        <w:top w:val="none" w:sz="0" w:space="0" w:color="auto"/>
                        <w:left w:val="none" w:sz="0" w:space="0" w:color="auto"/>
                        <w:bottom w:val="none" w:sz="0" w:space="0" w:color="auto"/>
                        <w:right w:val="none" w:sz="0" w:space="0" w:color="auto"/>
                      </w:divBdr>
                    </w:div>
                    <w:div w:id="1718629910">
                      <w:marLeft w:val="0"/>
                      <w:marRight w:val="0"/>
                      <w:marTop w:val="0"/>
                      <w:marBottom w:val="0"/>
                      <w:divBdr>
                        <w:top w:val="none" w:sz="0" w:space="0" w:color="auto"/>
                        <w:left w:val="none" w:sz="0" w:space="0" w:color="auto"/>
                        <w:bottom w:val="none" w:sz="0" w:space="0" w:color="auto"/>
                        <w:right w:val="none" w:sz="0" w:space="0" w:color="auto"/>
                      </w:divBdr>
                    </w:div>
                    <w:div w:id="1908801813">
                      <w:marLeft w:val="0"/>
                      <w:marRight w:val="0"/>
                      <w:marTop w:val="0"/>
                      <w:marBottom w:val="0"/>
                      <w:divBdr>
                        <w:top w:val="none" w:sz="0" w:space="0" w:color="auto"/>
                        <w:left w:val="none" w:sz="0" w:space="0" w:color="auto"/>
                        <w:bottom w:val="none" w:sz="0" w:space="0" w:color="auto"/>
                        <w:right w:val="none" w:sz="0" w:space="0" w:color="auto"/>
                      </w:divBdr>
                    </w:div>
                    <w:div w:id="206984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5342575">
          <w:marLeft w:val="0"/>
          <w:marRight w:val="0"/>
          <w:marTop w:val="0"/>
          <w:marBottom w:val="0"/>
          <w:divBdr>
            <w:top w:val="none" w:sz="0" w:space="0" w:color="auto"/>
            <w:left w:val="none" w:sz="0" w:space="0" w:color="auto"/>
            <w:bottom w:val="none" w:sz="0" w:space="0" w:color="auto"/>
            <w:right w:val="none" w:sz="0" w:space="0" w:color="auto"/>
          </w:divBdr>
        </w:div>
        <w:div w:id="2015454345">
          <w:marLeft w:val="0"/>
          <w:marRight w:val="0"/>
          <w:marTop w:val="0"/>
          <w:marBottom w:val="0"/>
          <w:divBdr>
            <w:top w:val="none" w:sz="0" w:space="0" w:color="auto"/>
            <w:left w:val="none" w:sz="0" w:space="0" w:color="auto"/>
            <w:bottom w:val="none" w:sz="0" w:space="0" w:color="auto"/>
            <w:right w:val="none" w:sz="0" w:space="0" w:color="auto"/>
          </w:divBdr>
          <w:divsChild>
            <w:div w:id="1392119038">
              <w:marLeft w:val="-75"/>
              <w:marRight w:val="0"/>
              <w:marTop w:val="30"/>
              <w:marBottom w:val="30"/>
              <w:divBdr>
                <w:top w:val="none" w:sz="0" w:space="0" w:color="auto"/>
                <w:left w:val="none" w:sz="0" w:space="0" w:color="auto"/>
                <w:bottom w:val="none" w:sz="0" w:space="0" w:color="auto"/>
                <w:right w:val="none" w:sz="0" w:space="0" w:color="auto"/>
              </w:divBdr>
              <w:divsChild>
                <w:div w:id="378165310">
                  <w:marLeft w:val="0"/>
                  <w:marRight w:val="0"/>
                  <w:marTop w:val="0"/>
                  <w:marBottom w:val="0"/>
                  <w:divBdr>
                    <w:top w:val="none" w:sz="0" w:space="0" w:color="auto"/>
                    <w:left w:val="none" w:sz="0" w:space="0" w:color="auto"/>
                    <w:bottom w:val="none" w:sz="0" w:space="0" w:color="auto"/>
                    <w:right w:val="none" w:sz="0" w:space="0" w:color="auto"/>
                  </w:divBdr>
                  <w:divsChild>
                    <w:div w:id="1557666491">
                      <w:marLeft w:val="0"/>
                      <w:marRight w:val="0"/>
                      <w:marTop w:val="0"/>
                      <w:marBottom w:val="0"/>
                      <w:divBdr>
                        <w:top w:val="none" w:sz="0" w:space="0" w:color="auto"/>
                        <w:left w:val="none" w:sz="0" w:space="0" w:color="auto"/>
                        <w:bottom w:val="none" w:sz="0" w:space="0" w:color="auto"/>
                        <w:right w:val="none" w:sz="0" w:space="0" w:color="auto"/>
                      </w:divBdr>
                    </w:div>
                  </w:divsChild>
                </w:div>
                <w:div w:id="457995261">
                  <w:marLeft w:val="0"/>
                  <w:marRight w:val="0"/>
                  <w:marTop w:val="0"/>
                  <w:marBottom w:val="0"/>
                  <w:divBdr>
                    <w:top w:val="none" w:sz="0" w:space="0" w:color="auto"/>
                    <w:left w:val="none" w:sz="0" w:space="0" w:color="auto"/>
                    <w:bottom w:val="none" w:sz="0" w:space="0" w:color="auto"/>
                    <w:right w:val="none" w:sz="0" w:space="0" w:color="auto"/>
                  </w:divBdr>
                  <w:divsChild>
                    <w:div w:id="248465494">
                      <w:marLeft w:val="0"/>
                      <w:marRight w:val="0"/>
                      <w:marTop w:val="0"/>
                      <w:marBottom w:val="0"/>
                      <w:divBdr>
                        <w:top w:val="none" w:sz="0" w:space="0" w:color="auto"/>
                        <w:left w:val="none" w:sz="0" w:space="0" w:color="auto"/>
                        <w:bottom w:val="none" w:sz="0" w:space="0" w:color="auto"/>
                        <w:right w:val="none" w:sz="0" w:space="0" w:color="auto"/>
                      </w:divBdr>
                    </w:div>
                  </w:divsChild>
                </w:div>
                <w:div w:id="2019382444">
                  <w:marLeft w:val="0"/>
                  <w:marRight w:val="0"/>
                  <w:marTop w:val="0"/>
                  <w:marBottom w:val="0"/>
                  <w:divBdr>
                    <w:top w:val="none" w:sz="0" w:space="0" w:color="auto"/>
                    <w:left w:val="none" w:sz="0" w:space="0" w:color="auto"/>
                    <w:bottom w:val="none" w:sz="0" w:space="0" w:color="auto"/>
                    <w:right w:val="none" w:sz="0" w:space="0" w:color="auto"/>
                  </w:divBdr>
                  <w:divsChild>
                    <w:div w:id="17723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7136452">
      <w:bodyDiv w:val="1"/>
      <w:marLeft w:val="0"/>
      <w:marRight w:val="0"/>
      <w:marTop w:val="0"/>
      <w:marBottom w:val="0"/>
      <w:divBdr>
        <w:top w:val="none" w:sz="0" w:space="0" w:color="auto"/>
        <w:left w:val="none" w:sz="0" w:space="0" w:color="auto"/>
        <w:bottom w:val="none" w:sz="0" w:space="0" w:color="auto"/>
        <w:right w:val="none" w:sz="0" w:space="0" w:color="auto"/>
      </w:divBdr>
      <w:divsChild>
        <w:div w:id="12146043">
          <w:marLeft w:val="0"/>
          <w:marRight w:val="0"/>
          <w:marTop w:val="0"/>
          <w:marBottom w:val="0"/>
          <w:divBdr>
            <w:top w:val="none" w:sz="0" w:space="0" w:color="auto"/>
            <w:left w:val="none" w:sz="0" w:space="0" w:color="auto"/>
            <w:bottom w:val="none" w:sz="0" w:space="0" w:color="auto"/>
            <w:right w:val="none" w:sz="0" w:space="0" w:color="auto"/>
          </w:divBdr>
        </w:div>
        <w:div w:id="374089262">
          <w:marLeft w:val="0"/>
          <w:marRight w:val="0"/>
          <w:marTop w:val="0"/>
          <w:marBottom w:val="0"/>
          <w:divBdr>
            <w:top w:val="none" w:sz="0" w:space="0" w:color="auto"/>
            <w:left w:val="none" w:sz="0" w:space="0" w:color="auto"/>
            <w:bottom w:val="none" w:sz="0" w:space="0" w:color="auto"/>
            <w:right w:val="none" w:sz="0" w:space="0" w:color="auto"/>
          </w:divBdr>
        </w:div>
        <w:div w:id="1589194906">
          <w:marLeft w:val="0"/>
          <w:marRight w:val="0"/>
          <w:marTop w:val="0"/>
          <w:marBottom w:val="0"/>
          <w:divBdr>
            <w:top w:val="none" w:sz="0" w:space="0" w:color="auto"/>
            <w:left w:val="none" w:sz="0" w:space="0" w:color="auto"/>
            <w:bottom w:val="none" w:sz="0" w:space="0" w:color="auto"/>
            <w:right w:val="none" w:sz="0" w:space="0" w:color="auto"/>
          </w:divBdr>
        </w:div>
      </w:divsChild>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intracomm.ec.europa.eu/dg/INTPA/audit-and-control/audits-and-verifications/Documents/ELIGIBILITY%20rules%20AFC%202023%20(002).pdf"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002).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F213B2-46D7-4625-B91A-3F85A64876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6C7E517-0A5E-472C-BDDF-63811E3D3603}">
  <ds:schemaRefs>
    <ds:schemaRef ds:uri="http://schemas.openxmlformats.org/officeDocument/2006/bibliography"/>
  </ds:schemaRefs>
</ds:datastoreItem>
</file>

<file path=customXml/itemProps3.xml><?xml version="1.0" encoding="utf-8"?>
<ds:datastoreItem xmlns:ds="http://schemas.openxmlformats.org/officeDocument/2006/customXml" ds:itemID="{74B48870-0381-415D-A0DB-42C107CF10AF}">
  <ds:schemaRefs>
    <ds:schemaRef ds:uri="http://schemas.microsoft.com/sharepoint/v3/contenttype/forms"/>
  </ds:schemaRefs>
</ds:datastoreItem>
</file>

<file path=customXml/itemProps4.xml><?xml version="1.0" encoding="utf-8"?>
<ds:datastoreItem xmlns:ds="http://schemas.openxmlformats.org/officeDocument/2006/customXml" ds:itemID="{254631B2-F78F-40E2-AC1C-ECF88EFF59D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257</TotalTime>
  <Pages>13</Pages>
  <Words>4388</Words>
  <Characters>25188</Characters>
  <Application>Microsoft Office Word</Application>
  <DocSecurity>0</DocSecurity>
  <Lines>719</Lines>
  <Paragraphs>339</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
  <LinksUpToDate>false</LinksUpToDate>
  <CharactersWithSpaces>29237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subject/>
  <dc:creator>swartwy</dc:creator>
  <cp:keywords/>
  <dc:description/>
  <cp:lastModifiedBy>FONSECA Cristina (INTPA)</cp:lastModifiedBy>
  <cp:revision>36</cp:revision>
  <cp:lastPrinted>2018-08-13T17:43:00Z</cp:lastPrinted>
  <dcterms:created xsi:type="dcterms:W3CDTF">2024-10-23T22:04:00Z</dcterms:created>
  <dcterms:modified xsi:type="dcterms:W3CDTF">2025-01-15T15:44:00Z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2022-09-28T14:19:10Z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f46c2c58-8066-4bde-8f6c-3df2dba3f3c0</vt:lpwstr>
  </property>
  <property fmtid="{D5CDD505-2E9C-101B-9397-08002B2CF9AE}" pid="8" name="MSIP_Label_6bd9ddd1-4d20-43f6-abfa-fc3c07406f94_ContentBits">
    <vt:lpwstr>0</vt:lpwstr>
  </property>
  <property fmtid="{D5CDD505-2E9C-101B-9397-08002B2CF9AE}" pid="9" name="ContentTypeId">
    <vt:lpwstr>0x010100199782AF6692CB4E8097BF428225D135</vt:lpwstr>
  </property>
</Properties>
</file>