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C9A7" w14:textId="77777777" w:rsidR="00442FA6" w:rsidRPr="00442FA6"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14:paraId="25CA8DBA" w14:textId="77777777" w:rsidTr="00442FA6">
        <w:trPr>
          <w:trHeight w:val="1440"/>
        </w:trPr>
        <w:tc>
          <w:tcPr>
            <w:tcW w:w="1814" w:type="dxa"/>
            <w:tcBorders>
              <w:top w:val="nil"/>
              <w:left w:val="nil"/>
              <w:bottom w:val="nil"/>
              <w:right w:val="nil"/>
            </w:tcBorders>
          </w:tcPr>
          <w:p w14:paraId="4E99E44F" w14:textId="77777777" w:rsidR="00442FA6" w:rsidRDefault="00D0315C" w:rsidP="00442FA6">
            <w:pPr>
              <w:rPr>
                <w:sz w:val="16"/>
                <w:szCs w:val="16"/>
              </w:rPr>
            </w:pPr>
            <w:bookmarkStart w:id="0" w:name="_GoBack"/>
            <w:bookmarkEnd w:id="0"/>
            <w:r>
              <w:rPr>
                <w:noProof/>
                <w:sz w:val="20"/>
                <w:lang w:val="fr-BE" w:eastAsia="fr-BE" w:bidi="ar-SA"/>
              </w:rPr>
              <w:drawing>
                <wp:inline distT="0" distB="0" distL="0" distR="0" wp14:anchorId="61E0D5C7" wp14:editId="09761DCF">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00D87FF9" w14:textId="77777777" w:rsidR="00442FA6" w:rsidRDefault="00442FA6" w:rsidP="00442FA6">
            <w:pPr>
              <w:pStyle w:val="ZCom"/>
            </w:pPr>
            <w:r>
              <w:t>COMMISSION EUROPÉENNE</w:t>
            </w:r>
          </w:p>
          <w:p w14:paraId="0CB21BB2" w14:textId="77777777" w:rsidR="00442FA6" w:rsidRDefault="00442FA6" w:rsidP="00442FA6">
            <w:pPr>
              <w:pStyle w:val="ZDGName"/>
            </w:pPr>
          </w:p>
          <w:p w14:paraId="27DD43E6" w14:textId="77777777" w:rsidR="00145C0A" w:rsidRDefault="00145C0A" w:rsidP="00442FA6">
            <w:pPr>
              <w:pStyle w:val="ZDGName"/>
            </w:pPr>
          </w:p>
          <w:p w14:paraId="6E82916D" w14:textId="77777777" w:rsidR="00145C0A" w:rsidRDefault="00145C0A" w:rsidP="00442FA6">
            <w:pPr>
              <w:pStyle w:val="ZDGName"/>
            </w:pPr>
          </w:p>
          <w:p w14:paraId="2211F401" w14:textId="77777777" w:rsidR="00145C0A" w:rsidRDefault="00145C0A" w:rsidP="00442FA6">
            <w:pPr>
              <w:pStyle w:val="ZDGName"/>
            </w:pPr>
          </w:p>
        </w:tc>
      </w:tr>
    </w:tbl>
    <w:p w14:paraId="66ABD75C" w14:textId="77777777" w:rsidR="00904F0C" w:rsidRPr="005447C3" w:rsidRDefault="00904F0C" w:rsidP="00693C22">
      <w:pPr>
        <w:spacing w:before="360" w:after="120"/>
        <w:ind w:left="1134" w:hanging="1134"/>
        <w:jc w:val="center"/>
        <w:rPr>
          <w:rFonts w:ascii="Arial" w:hAnsi="Arial"/>
          <w:b/>
          <w:sz w:val="28"/>
        </w:rPr>
      </w:pPr>
      <w:r>
        <w:rPr>
          <w:rFonts w:ascii="Arial" w:hAnsi="Arial"/>
          <w:b/>
          <w:sz w:val="28"/>
        </w:rPr>
        <w:t xml:space="preserve">TERMES DE RÉFÉRENCE POUR UNE </w:t>
      </w:r>
    </w:p>
    <w:p w14:paraId="6971C680" w14:textId="77777777" w:rsidR="00F87F66" w:rsidRDefault="00904F0C" w:rsidP="00693C22">
      <w:pPr>
        <w:spacing w:before="120" w:after="360"/>
        <w:jc w:val="center"/>
        <w:rPr>
          <w:rFonts w:ascii="Arial" w:hAnsi="Arial"/>
          <w:b/>
          <w:sz w:val="28"/>
        </w:rPr>
      </w:pPr>
      <w:r>
        <w:rPr>
          <w:rFonts w:ascii="Arial" w:hAnsi="Arial"/>
          <w:b/>
          <w:sz w:val="28"/>
        </w:rPr>
        <w:t>VÉRIFICATION DES DÉPENSES</w:t>
      </w:r>
    </w:p>
    <w:p w14:paraId="4CD913C9" w14:textId="77777777" w:rsidR="00904F0C" w:rsidRPr="005447C3" w:rsidRDefault="00904F0C" w:rsidP="00693C22">
      <w:pPr>
        <w:spacing w:before="240" w:after="360"/>
        <w:rPr>
          <w:vanish/>
        </w:rPr>
      </w:pPr>
    </w:p>
    <w:p w14:paraId="3ED8E674" w14:textId="45300BC4" w:rsidR="00F87F66" w:rsidRDefault="00904F0C" w:rsidP="00693C22">
      <w:pPr>
        <w:spacing w:before="240" w:after="360"/>
        <w:jc w:val="center"/>
        <w:rPr>
          <w:rFonts w:ascii="Arial" w:hAnsi="Arial"/>
          <w:b/>
          <w:sz w:val="28"/>
        </w:rPr>
      </w:pPr>
      <w:r>
        <w:rPr>
          <w:rFonts w:ascii="Arial" w:hAnsi="Arial"/>
          <w:b/>
          <w:sz w:val="28"/>
        </w:rPr>
        <w:t>Annexe 2: L</w:t>
      </w:r>
      <w:r w:rsidR="00DD44A4">
        <w:rPr>
          <w:rFonts w:ascii="Arial" w:hAnsi="Arial"/>
          <w:b/>
          <w:sz w:val="28"/>
        </w:rPr>
        <w:t>ignes directrices relatives à l'analyse des risques et aux procédures de vérification</w:t>
      </w:r>
      <w:r>
        <w:rPr>
          <w:rFonts w:ascii="Arial" w:hAnsi="Arial"/>
          <w:b/>
          <w:sz w:val="28"/>
        </w:rPr>
        <w:t xml:space="preserve"> </w:t>
      </w:r>
    </w:p>
    <w:p w14:paraId="79EEFD52" w14:textId="77777777" w:rsidR="007E5B31" w:rsidRPr="00693C22" w:rsidRDefault="007E5B31" w:rsidP="00693C22">
      <w:pPr>
        <w:spacing w:before="240" w:after="360"/>
        <w:jc w:val="center"/>
        <w:rPr>
          <w:rFonts w:ascii="Arial" w:hAnsi="Arial" w:cs="Arial"/>
          <w:b/>
          <w:sz w:val="28"/>
          <w:szCs w:val="28"/>
          <w:lang w:val="fr-BE" w:eastAsia="en-GB" w:bidi="ar-SA"/>
        </w:rPr>
      </w:pPr>
    </w:p>
    <w:p w14:paraId="39C2D6BC" w14:textId="3C7BF190" w:rsidR="007E5B31" w:rsidRDefault="007E5B31" w:rsidP="00693C22">
      <w:pPr>
        <w:spacing w:after="240"/>
        <w:jc w:val="center"/>
        <w:rPr>
          <w:rFonts w:ascii="Arial" w:hAnsi="Arial"/>
          <w:b/>
          <w:sz w:val="28"/>
        </w:rPr>
      </w:pPr>
      <w:r w:rsidRPr="00D0717A">
        <w:rPr>
          <w:rFonts w:ascii="Arial" w:hAnsi="Arial" w:cs="Arial"/>
          <w:b/>
          <w:sz w:val="28"/>
          <w:szCs w:val="28"/>
          <w:lang w:val="en-GB" w:eastAsia="en-GB" w:bidi="ar-SA"/>
        </w:rPr>
        <w:t>Table</w:t>
      </w:r>
      <w:r>
        <w:rPr>
          <w:rFonts w:ascii="Arial" w:hAnsi="Arial" w:cs="Arial"/>
          <w:b/>
          <w:sz w:val="28"/>
          <w:szCs w:val="28"/>
          <w:lang w:val="en-GB" w:eastAsia="en-GB" w:bidi="ar-SA"/>
        </w:rPr>
        <w:t xml:space="preserve"> des </w:t>
      </w:r>
      <w:r w:rsidRPr="00693C22">
        <w:rPr>
          <w:rFonts w:ascii="Arial" w:hAnsi="Arial" w:cs="Arial"/>
          <w:b/>
          <w:sz w:val="28"/>
          <w:szCs w:val="28"/>
          <w:lang w:eastAsia="en-GB" w:bidi="ar-SA"/>
        </w:rPr>
        <w:t>matières</w:t>
      </w:r>
    </w:p>
    <w:p w14:paraId="220DC137" w14:textId="77777777" w:rsidR="00E4025D" w:rsidRDefault="00E4025D" w:rsidP="00F87F66">
      <w:pPr>
        <w:rPr>
          <w:vanish/>
        </w:rPr>
      </w:pPr>
    </w:p>
    <w:p w14:paraId="04BA22FE" w14:textId="77777777" w:rsidR="009C0519" w:rsidRDefault="009C0519" w:rsidP="00F87F66">
      <w:pPr>
        <w:rPr>
          <w:vanish/>
        </w:rPr>
      </w:pPr>
    </w:p>
    <w:p w14:paraId="7E2C92F9" w14:textId="77777777" w:rsidR="00693C22" w:rsidRDefault="009C0519">
      <w:pPr>
        <w:pStyle w:val="TOC1"/>
        <w:rPr>
          <w:rFonts w:asciiTheme="minorHAnsi" w:eastAsiaTheme="minorEastAsia" w:hAnsiTheme="minorHAnsi" w:cstheme="minorBidi"/>
          <w:b w:val="0"/>
          <w:caps w:val="0"/>
          <w:sz w:val="22"/>
          <w:szCs w:val="22"/>
          <w:lang w:val="en-GB" w:eastAsia="en-GB" w:bidi="ar-SA"/>
        </w:rPr>
      </w:pPr>
      <w:r>
        <w:rPr>
          <w:rFonts w:ascii="Arial" w:hAnsi="Arial" w:cs="Arial"/>
          <w:b w:val="0"/>
        </w:rPr>
        <w:fldChar w:fldCharType="begin"/>
      </w:r>
      <w:r>
        <w:rPr>
          <w:rFonts w:ascii="Arial" w:hAnsi="Arial" w:cs="Arial"/>
          <w:b w:val="0"/>
        </w:rPr>
        <w:instrText xml:space="preserve"> TOC \o "1-2" \h \z \u </w:instrText>
      </w:r>
      <w:r>
        <w:rPr>
          <w:rFonts w:ascii="Arial" w:hAnsi="Arial" w:cs="Arial"/>
          <w:b w:val="0"/>
        </w:rPr>
        <w:fldChar w:fldCharType="separate"/>
      </w:r>
      <w:hyperlink w:anchor="_Toc520275842" w:history="1">
        <w:r w:rsidR="00693C22" w:rsidRPr="00845F82">
          <w:rPr>
            <w:rStyle w:val="Hyperlink"/>
          </w:rPr>
          <w:t>1. ANALYSE DES RISQUES ET DÉTERMINATION DE L’ÉCHANTILLON</w:t>
        </w:r>
        <w:r w:rsidR="00693C22">
          <w:rPr>
            <w:webHidden/>
          </w:rPr>
          <w:tab/>
        </w:r>
        <w:r w:rsidR="00693C22">
          <w:rPr>
            <w:webHidden/>
          </w:rPr>
          <w:fldChar w:fldCharType="begin"/>
        </w:r>
        <w:r w:rsidR="00693C22">
          <w:rPr>
            <w:webHidden/>
          </w:rPr>
          <w:instrText xml:space="preserve"> PAGEREF _Toc520275842 \h </w:instrText>
        </w:r>
        <w:r w:rsidR="00693C22">
          <w:rPr>
            <w:webHidden/>
          </w:rPr>
        </w:r>
        <w:r w:rsidR="00693C22">
          <w:rPr>
            <w:webHidden/>
          </w:rPr>
          <w:fldChar w:fldCharType="separate"/>
        </w:r>
        <w:r w:rsidR="005604A0">
          <w:rPr>
            <w:webHidden/>
          </w:rPr>
          <w:t>2</w:t>
        </w:r>
        <w:r w:rsidR="00693C22">
          <w:rPr>
            <w:webHidden/>
          </w:rPr>
          <w:fldChar w:fldCharType="end"/>
        </w:r>
      </w:hyperlink>
    </w:p>
    <w:p w14:paraId="0F0F43E2" w14:textId="77777777" w:rsidR="00693C22" w:rsidRDefault="00C847C0">
      <w:pPr>
        <w:pStyle w:val="TOC1"/>
        <w:rPr>
          <w:rFonts w:asciiTheme="minorHAnsi" w:eastAsiaTheme="minorEastAsia" w:hAnsiTheme="minorHAnsi" w:cstheme="minorBidi"/>
          <w:b w:val="0"/>
          <w:caps w:val="0"/>
          <w:sz w:val="22"/>
          <w:szCs w:val="22"/>
          <w:lang w:val="en-GB" w:eastAsia="en-GB" w:bidi="ar-SA"/>
        </w:rPr>
      </w:pPr>
      <w:hyperlink w:anchor="_Toc520275843" w:history="1">
        <w:r w:rsidR="00693C22" w:rsidRPr="00845F82">
          <w:rPr>
            <w:rStyle w:val="Hyperlink"/>
          </w:rPr>
          <w:t>2. PROCÉDURES DE VÉRIFICATION DES DÉPENSES</w:t>
        </w:r>
        <w:r w:rsidR="00693C22">
          <w:rPr>
            <w:webHidden/>
          </w:rPr>
          <w:tab/>
        </w:r>
        <w:r w:rsidR="00693C22">
          <w:rPr>
            <w:webHidden/>
          </w:rPr>
          <w:fldChar w:fldCharType="begin"/>
        </w:r>
        <w:r w:rsidR="00693C22">
          <w:rPr>
            <w:webHidden/>
          </w:rPr>
          <w:instrText xml:space="preserve"> PAGEREF _Toc520275843 \h </w:instrText>
        </w:r>
        <w:r w:rsidR="00693C22">
          <w:rPr>
            <w:webHidden/>
          </w:rPr>
        </w:r>
        <w:r w:rsidR="00693C22">
          <w:rPr>
            <w:webHidden/>
          </w:rPr>
          <w:fldChar w:fldCharType="separate"/>
        </w:r>
        <w:r w:rsidR="005604A0">
          <w:rPr>
            <w:webHidden/>
          </w:rPr>
          <w:t>2</w:t>
        </w:r>
        <w:r w:rsidR="00693C22">
          <w:rPr>
            <w:webHidden/>
          </w:rPr>
          <w:fldChar w:fldCharType="end"/>
        </w:r>
      </w:hyperlink>
    </w:p>
    <w:p w14:paraId="57ABFE75"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4" w:history="1">
        <w:r w:rsidR="00693C22" w:rsidRPr="00845F82">
          <w:rPr>
            <w:rStyle w:val="Hyperlink"/>
          </w:rPr>
          <w:t xml:space="preserve">2.1 </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ont été engagées par l’entité et concernent l’entité</w:t>
        </w:r>
        <w:r w:rsidR="00693C22">
          <w:rPr>
            <w:webHidden/>
          </w:rPr>
          <w:tab/>
        </w:r>
        <w:r w:rsidR="00693C22">
          <w:rPr>
            <w:webHidden/>
          </w:rPr>
          <w:fldChar w:fldCharType="begin"/>
        </w:r>
        <w:r w:rsidR="00693C22">
          <w:rPr>
            <w:webHidden/>
          </w:rPr>
          <w:instrText xml:space="preserve"> PAGEREF _Toc520275844 \h </w:instrText>
        </w:r>
        <w:r w:rsidR="00693C22">
          <w:rPr>
            <w:webHidden/>
          </w:rPr>
        </w:r>
        <w:r w:rsidR="00693C22">
          <w:rPr>
            <w:webHidden/>
          </w:rPr>
          <w:fldChar w:fldCharType="separate"/>
        </w:r>
        <w:r w:rsidR="005604A0">
          <w:rPr>
            <w:webHidden/>
          </w:rPr>
          <w:t>2</w:t>
        </w:r>
        <w:r w:rsidR="00693C22">
          <w:rPr>
            <w:webHidden/>
          </w:rPr>
          <w:fldChar w:fldCharType="end"/>
        </w:r>
      </w:hyperlink>
    </w:p>
    <w:p w14:paraId="7C4DA1AC"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5" w:history="1">
        <w:r w:rsidR="00693C22" w:rsidRPr="00845F82">
          <w:rPr>
            <w:rStyle w:val="Hyperlink"/>
          </w:rPr>
          <w:t xml:space="preserve">2.2 </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sont enregistrées dans le système comptable de l’entité déclarante ou des autres entités ayant engagé des dépenses</w:t>
        </w:r>
        <w:r w:rsidR="00693C22">
          <w:rPr>
            <w:webHidden/>
          </w:rPr>
          <w:tab/>
        </w:r>
        <w:r w:rsidR="00693C22">
          <w:rPr>
            <w:webHidden/>
          </w:rPr>
          <w:fldChar w:fldCharType="begin"/>
        </w:r>
        <w:r w:rsidR="00693C22">
          <w:rPr>
            <w:webHidden/>
          </w:rPr>
          <w:instrText xml:space="preserve"> PAGEREF _Toc520275845 \h </w:instrText>
        </w:r>
        <w:r w:rsidR="00693C22">
          <w:rPr>
            <w:webHidden/>
          </w:rPr>
        </w:r>
        <w:r w:rsidR="00693C22">
          <w:rPr>
            <w:webHidden/>
          </w:rPr>
          <w:fldChar w:fldCharType="separate"/>
        </w:r>
        <w:r w:rsidR="005604A0">
          <w:rPr>
            <w:webHidden/>
          </w:rPr>
          <w:t>2</w:t>
        </w:r>
        <w:r w:rsidR="00693C22">
          <w:rPr>
            <w:webHidden/>
          </w:rPr>
          <w:fldChar w:fldCharType="end"/>
        </w:r>
      </w:hyperlink>
    </w:p>
    <w:p w14:paraId="49403526"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6" w:history="1">
        <w:r w:rsidR="00693C22" w:rsidRPr="00845F82">
          <w:rPr>
            <w:rStyle w:val="Hyperlink"/>
          </w:rPr>
          <w:t>2.3</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ont été engagées pendant la période d’éligibilité contractuelle</w:t>
        </w:r>
        <w:r w:rsidR="00693C22">
          <w:rPr>
            <w:webHidden/>
          </w:rPr>
          <w:tab/>
        </w:r>
        <w:r w:rsidR="00693C22">
          <w:rPr>
            <w:webHidden/>
          </w:rPr>
          <w:fldChar w:fldCharType="begin"/>
        </w:r>
        <w:r w:rsidR="00693C22">
          <w:rPr>
            <w:webHidden/>
          </w:rPr>
          <w:instrText xml:space="preserve"> PAGEREF _Toc520275846 \h </w:instrText>
        </w:r>
        <w:r w:rsidR="00693C22">
          <w:rPr>
            <w:webHidden/>
          </w:rPr>
        </w:r>
        <w:r w:rsidR="00693C22">
          <w:rPr>
            <w:webHidden/>
          </w:rPr>
          <w:fldChar w:fldCharType="separate"/>
        </w:r>
        <w:r w:rsidR="005604A0">
          <w:rPr>
            <w:webHidden/>
          </w:rPr>
          <w:t>3</w:t>
        </w:r>
        <w:r w:rsidR="00693C22">
          <w:rPr>
            <w:webHidden/>
          </w:rPr>
          <w:fldChar w:fldCharType="end"/>
        </w:r>
      </w:hyperlink>
    </w:p>
    <w:p w14:paraId="3F43E1C6"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7" w:history="1">
        <w:r w:rsidR="00693C22" w:rsidRPr="00845F82">
          <w:rPr>
            <w:rStyle w:val="Hyperlink"/>
          </w:rPr>
          <w:t>2.4</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étaient indiquées dans le budget prévisionnel contractuel</w:t>
        </w:r>
        <w:r w:rsidR="00693C22">
          <w:rPr>
            <w:webHidden/>
          </w:rPr>
          <w:tab/>
        </w:r>
        <w:r w:rsidR="00693C22">
          <w:rPr>
            <w:webHidden/>
          </w:rPr>
          <w:fldChar w:fldCharType="begin"/>
        </w:r>
        <w:r w:rsidR="00693C22">
          <w:rPr>
            <w:webHidden/>
          </w:rPr>
          <w:instrText xml:space="preserve"> PAGEREF _Toc520275847 \h </w:instrText>
        </w:r>
        <w:r w:rsidR="00693C22">
          <w:rPr>
            <w:webHidden/>
          </w:rPr>
        </w:r>
        <w:r w:rsidR="00693C22">
          <w:rPr>
            <w:webHidden/>
          </w:rPr>
          <w:fldChar w:fldCharType="separate"/>
        </w:r>
        <w:r w:rsidR="005604A0">
          <w:rPr>
            <w:webHidden/>
          </w:rPr>
          <w:t>3</w:t>
        </w:r>
        <w:r w:rsidR="00693C22">
          <w:rPr>
            <w:webHidden/>
          </w:rPr>
          <w:fldChar w:fldCharType="end"/>
        </w:r>
      </w:hyperlink>
    </w:p>
    <w:p w14:paraId="2A394325"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8" w:history="1">
        <w:r w:rsidR="00693C22" w:rsidRPr="00845F82">
          <w:rPr>
            <w:rStyle w:val="Hyperlink"/>
          </w:rPr>
          <w:t>2.5</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nécessaires à la mise en œuvre des activités contractuelles sont raisonnables et justifiées</w:t>
        </w:r>
        <w:r w:rsidR="00693C22">
          <w:rPr>
            <w:webHidden/>
          </w:rPr>
          <w:tab/>
        </w:r>
        <w:r w:rsidR="00693C22">
          <w:rPr>
            <w:webHidden/>
          </w:rPr>
          <w:fldChar w:fldCharType="begin"/>
        </w:r>
        <w:r w:rsidR="00693C22">
          <w:rPr>
            <w:webHidden/>
          </w:rPr>
          <w:instrText xml:space="preserve"> PAGEREF _Toc520275848 \h </w:instrText>
        </w:r>
        <w:r w:rsidR="00693C22">
          <w:rPr>
            <w:webHidden/>
          </w:rPr>
        </w:r>
        <w:r w:rsidR="00693C22">
          <w:rPr>
            <w:webHidden/>
          </w:rPr>
          <w:fldChar w:fldCharType="separate"/>
        </w:r>
        <w:r w:rsidR="005604A0">
          <w:rPr>
            <w:webHidden/>
          </w:rPr>
          <w:t>3</w:t>
        </w:r>
        <w:r w:rsidR="00693C22">
          <w:rPr>
            <w:webHidden/>
          </w:rPr>
          <w:fldChar w:fldCharType="end"/>
        </w:r>
      </w:hyperlink>
    </w:p>
    <w:p w14:paraId="71D1B097"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49" w:history="1">
        <w:r w:rsidR="00693C22" w:rsidRPr="00845F82">
          <w:rPr>
            <w:rStyle w:val="Hyperlink"/>
          </w:rPr>
          <w:t>2.6</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sont identifiables et vérifiables</w:t>
        </w:r>
        <w:r w:rsidR="00693C22">
          <w:rPr>
            <w:webHidden/>
          </w:rPr>
          <w:tab/>
        </w:r>
        <w:r w:rsidR="00693C22">
          <w:rPr>
            <w:webHidden/>
          </w:rPr>
          <w:fldChar w:fldCharType="begin"/>
        </w:r>
        <w:r w:rsidR="00693C22">
          <w:rPr>
            <w:webHidden/>
          </w:rPr>
          <w:instrText xml:space="preserve"> PAGEREF _Toc520275849 \h </w:instrText>
        </w:r>
        <w:r w:rsidR="00693C22">
          <w:rPr>
            <w:webHidden/>
          </w:rPr>
        </w:r>
        <w:r w:rsidR="00693C22">
          <w:rPr>
            <w:webHidden/>
          </w:rPr>
          <w:fldChar w:fldCharType="separate"/>
        </w:r>
        <w:r w:rsidR="005604A0">
          <w:rPr>
            <w:webHidden/>
          </w:rPr>
          <w:t>3</w:t>
        </w:r>
        <w:r w:rsidR="00693C22">
          <w:rPr>
            <w:webHidden/>
          </w:rPr>
          <w:fldChar w:fldCharType="end"/>
        </w:r>
      </w:hyperlink>
    </w:p>
    <w:p w14:paraId="14707C02"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50" w:history="1">
        <w:r w:rsidR="00693C22" w:rsidRPr="00845F82">
          <w:rPr>
            <w:rStyle w:val="Hyperlink"/>
          </w:rPr>
          <w:t>2.7</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Conformité aux règles de passation de marchés et aux règles de nationalité et d’origine</w:t>
        </w:r>
        <w:r w:rsidR="00693C22">
          <w:rPr>
            <w:webHidden/>
          </w:rPr>
          <w:tab/>
        </w:r>
        <w:r w:rsidR="00693C22">
          <w:rPr>
            <w:webHidden/>
          </w:rPr>
          <w:fldChar w:fldCharType="begin"/>
        </w:r>
        <w:r w:rsidR="00693C22">
          <w:rPr>
            <w:webHidden/>
          </w:rPr>
          <w:instrText xml:space="preserve"> PAGEREF _Toc520275850 \h </w:instrText>
        </w:r>
        <w:r w:rsidR="00693C22">
          <w:rPr>
            <w:webHidden/>
          </w:rPr>
        </w:r>
        <w:r w:rsidR="00693C22">
          <w:rPr>
            <w:webHidden/>
          </w:rPr>
          <w:fldChar w:fldCharType="separate"/>
        </w:r>
        <w:r w:rsidR="005604A0">
          <w:rPr>
            <w:webHidden/>
          </w:rPr>
          <w:t>3</w:t>
        </w:r>
        <w:r w:rsidR="00693C22">
          <w:rPr>
            <w:webHidden/>
          </w:rPr>
          <w:fldChar w:fldCharType="end"/>
        </w:r>
      </w:hyperlink>
    </w:p>
    <w:p w14:paraId="3A52029D"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51" w:history="1">
        <w:r w:rsidR="00693C22" w:rsidRPr="00845F82">
          <w:rPr>
            <w:rStyle w:val="Hyperlink"/>
          </w:rPr>
          <w:t>2.8</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Les dépenses sont conformes aux exigences de la législation fiscale et sociale applicable</w:t>
        </w:r>
        <w:r w:rsidR="00693C22">
          <w:rPr>
            <w:webHidden/>
          </w:rPr>
          <w:tab/>
        </w:r>
        <w:r w:rsidR="00693C22">
          <w:rPr>
            <w:webHidden/>
          </w:rPr>
          <w:fldChar w:fldCharType="begin"/>
        </w:r>
        <w:r w:rsidR="00693C22">
          <w:rPr>
            <w:webHidden/>
          </w:rPr>
          <w:instrText xml:space="preserve"> PAGEREF _Toc520275851 \h </w:instrText>
        </w:r>
        <w:r w:rsidR="00693C22">
          <w:rPr>
            <w:webHidden/>
          </w:rPr>
        </w:r>
        <w:r w:rsidR="00693C22">
          <w:rPr>
            <w:webHidden/>
          </w:rPr>
          <w:fldChar w:fldCharType="separate"/>
        </w:r>
        <w:r w:rsidR="005604A0">
          <w:rPr>
            <w:webHidden/>
          </w:rPr>
          <w:t>4</w:t>
        </w:r>
        <w:r w:rsidR="00693C22">
          <w:rPr>
            <w:webHidden/>
          </w:rPr>
          <w:fldChar w:fldCharType="end"/>
        </w:r>
      </w:hyperlink>
    </w:p>
    <w:p w14:paraId="773B091D"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52" w:history="1">
        <w:r w:rsidR="00693C22" w:rsidRPr="00845F82">
          <w:rPr>
            <w:rStyle w:val="Hyperlink"/>
          </w:rPr>
          <w:t>2.9</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Soutien financier à des tiers (subventions en cascade)</w:t>
        </w:r>
        <w:r w:rsidR="00693C22">
          <w:rPr>
            <w:webHidden/>
          </w:rPr>
          <w:tab/>
        </w:r>
        <w:r w:rsidR="00693C22">
          <w:rPr>
            <w:webHidden/>
          </w:rPr>
          <w:fldChar w:fldCharType="begin"/>
        </w:r>
        <w:r w:rsidR="00693C22">
          <w:rPr>
            <w:webHidden/>
          </w:rPr>
          <w:instrText xml:space="preserve"> PAGEREF _Toc520275852 \h </w:instrText>
        </w:r>
        <w:r w:rsidR="00693C22">
          <w:rPr>
            <w:webHidden/>
          </w:rPr>
        </w:r>
        <w:r w:rsidR="00693C22">
          <w:rPr>
            <w:webHidden/>
          </w:rPr>
          <w:fldChar w:fldCharType="separate"/>
        </w:r>
        <w:r w:rsidR="005604A0">
          <w:rPr>
            <w:webHidden/>
          </w:rPr>
          <w:t>4</w:t>
        </w:r>
        <w:r w:rsidR="00693C22">
          <w:rPr>
            <w:webHidden/>
          </w:rPr>
          <w:fldChar w:fldCharType="end"/>
        </w:r>
      </w:hyperlink>
    </w:p>
    <w:p w14:paraId="2ED993B3"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53" w:history="1">
        <w:r w:rsidR="00693C22" w:rsidRPr="00845F82">
          <w:rPr>
            <w:rStyle w:val="Hyperlink"/>
          </w:rPr>
          <w:t>2.10</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rPr>
          <w:t>Autres conditions d’éligibilité</w:t>
        </w:r>
        <w:r w:rsidR="00693C22">
          <w:rPr>
            <w:webHidden/>
          </w:rPr>
          <w:tab/>
        </w:r>
        <w:r w:rsidR="00693C22">
          <w:rPr>
            <w:webHidden/>
          </w:rPr>
          <w:fldChar w:fldCharType="begin"/>
        </w:r>
        <w:r w:rsidR="00693C22">
          <w:rPr>
            <w:webHidden/>
          </w:rPr>
          <w:instrText xml:space="preserve"> PAGEREF _Toc520275853 \h </w:instrText>
        </w:r>
        <w:r w:rsidR="00693C22">
          <w:rPr>
            <w:webHidden/>
          </w:rPr>
        </w:r>
        <w:r w:rsidR="00693C22">
          <w:rPr>
            <w:webHidden/>
          </w:rPr>
          <w:fldChar w:fldCharType="separate"/>
        </w:r>
        <w:r w:rsidR="005604A0">
          <w:rPr>
            <w:webHidden/>
          </w:rPr>
          <w:t>4</w:t>
        </w:r>
        <w:r w:rsidR="00693C22">
          <w:rPr>
            <w:webHidden/>
          </w:rPr>
          <w:fldChar w:fldCharType="end"/>
        </w:r>
      </w:hyperlink>
    </w:p>
    <w:p w14:paraId="6C03FEBC" w14:textId="77777777" w:rsidR="00693C22" w:rsidRDefault="00C847C0">
      <w:pPr>
        <w:pStyle w:val="TOC2"/>
        <w:rPr>
          <w:rFonts w:asciiTheme="minorHAnsi" w:eastAsiaTheme="minorEastAsia" w:hAnsiTheme="minorHAnsi" w:cstheme="minorBidi"/>
          <w:smallCaps w:val="0"/>
          <w:sz w:val="22"/>
          <w:szCs w:val="22"/>
          <w:lang w:val="en-GB" w:eastAsia="en-GB" w:bidi="ar-SA"/>
        </w:rPr>
      </w:pPr>
      <w:hyperlink w:anchor="_Toc520275854" w:history="1">
        <w:r w:rsidR="00693C22" w:rsidRPr="00845F82">
          <w:rPr>
            <w:rStyle w:val="Hyperlink"/>
            <w:highlight w:val="darkGray"/>
          </w:rPr>
          <w:t>2.11</w:t>
        </w:r>
        <w:r w:rsidR="00693C22">
          <w:rPr>
            <w:rFonts w:asciiTheme="minorHAnsi" w:eastAsiaTheme="minorEastAsia" w:hAnsiTheme="minorHAnsi" w:cstheme="minorBidi"/>
            <w:smallCaps w:val="0"/>
            <w:sz w:val="22"/>
            <w:szCs w:val="22"/>
            <w:lang w:val="en-GB" w:eastAsia="en-GB" w:bidi="ar-SA"/>
          </w:rPr>
          <w:tab/>
        </w:r>
        <w:r w:rsidR="00693C22" w:rsidRPr="00845F82">
          <w:rPr>
            <w:rStyle w:val="Hyperlink"/>
            <w:highlight w:val="darkGray"/>
          </w:rPr>
          <w:t>Contrôles supplémentaires non inclus dans la procédure de vérification standard</w:t>
        </w:r>
        <w:r w:rsidR="00693C22">
          <w:rPr>
            <w:webHidden/>
          </w:rPr>
          <w:tab/>
        </w:r>
        <w:r w:rsidR="00693C22">
          <w:rPr>
            <w:webHidden/>
          </w:rPr>
          <w:fldChar w:fldCharType="begin"/>
        </w:r>
        <w:r w:rsidR="00693C22">
          <w:rPr>
            <w:webHidden/>
          </w:rPr>
          <w:instrText xml:space="preserve"> PAGEREF _Toc520275854 \h </w:instrText>
        </w:r>
        <w:r w:rsidR="00693C22">
          <w:rPr>
            <w:webHidden/>
          </w:rPr>
        </w:r>
        <w:r w:rsidR="00693C22">
          <w:rPr>
            <w:webHidden/>
          </w:rPr>
          <w:fldChar w:fldCharType="separate"/>
        </w:r>
        <w:r w:rsidR="005604A0">
          <w:rPr>
            <w:webHidden/>
          </w:rPr>
          <w:t>5</w:t>
        </w:r>
        <w:r w:rsidR="00693C22">
          <w:rPr>
            <w:webHidden/>
          </w:rPr>
          <w:fldChar w:fldCharType="end"/>
        </w:r>
      </w:hyperlink>
    </w:p>
    <w:p w14:paraId="73DD0CBD" w14:textId="77777777" w:rsidR="00817E77" w:rsidRPr="003E7ED3" w:rsidRDefault="009C0519">
      <w:pPr>
        <w:pStyle w:val="TOC1"/>
        <w:rPr>
          <w:rFonts w:ascii="Calibri" w:hAnsi="Calibri"/>
          <w:b w:val="0"/>
          <w:caps w:val="0"/>
          <w:sz w:val="22"/>
          <w:szCs w:val="22"/>
        </w:rPr>
      </w:pPr>
      <w:r>
        <w:rPr>
          <w:rFonts w:ascii="Arial" w:hAnsi="Arial" w:cs="Arial"/>
          <w:b w:val="0"/>
          <w:caps w:val="0"/>
          <w:smallCaps/>
        </w:rPr>
        <w:fldChar w:fldCharType="end"/>
      </w:r>
    </w:p>
    <w:p w14:paraId="460E9A22" w14:textId="77777777" w:rsidR="00E00FE8" w:rsidRDefault="00E00FE8" w:rsidP="009C0519">
      <w:pPr>
        <w:rPr>
          <w:rFonts w:ascii="Arial" w:hAnsi="Arial" w:cs="Arial"/>
          <w:sz w:val="20"/>
        </w:rPr>
      </w:pPr>
    </w:p>
    <w:p w14:paraId="393BD521" w14:textId="77777777" w:rsidR="00E00FE8" w:rsidRDefault="00E00FE8" w:rsidP="009C0519">
      <w:pPr>
        <w:rPr>
          <w:rFonts w:ascii="Arial" w:hAnsi="Arial" w:cs="Arial"/>
          <w:sz w:val="20"/>
        </w:rPr>
      </w:pPr>
    </w:p>
    <w:p w14:paraId="476C3778" w14:textId="51D1E633" w:rsidR="00E4025D" w:rsidRDefault="00904F0C" w:rsidP="003427C0">
      <w:pPr>
        <w:pStyle w:val="Heading1"/>
        <w:numPr>
          <w:ilvl w:val="0"/>
          <w:numId w:val="0"/>
        </w:numPr>
        <w:ind w:left="432" w:hanging="432"/>
      </w:pPr>
      <w:r>
        <w:br w:type="page"/>
      </w:r>
      <w:bookmarkStart w:id="1" w:name="_Toc506468586"/>
      <w:bookmarkStart w:id="2" w:name="_Toc520275842"/>
      <w:r>
        <w:lastRenderedPageBreak/>
        <w:t>1. ANALYSE DES RISQUES</w:t>
      </w:r>
      <w:bookmarkEnd w:id="1"/>
      <w:r>
        <w:t xml:space="preserve"> ET DÉTERMINATION DE L’ÉCHANTILLON</w:t>
      </w:r>
      <w:bookmarkEnd w:id="2"/>
    </w:p>
    <w:p w14:paraId="1D98C053" w14:textId="77777777" w:rsidR="003A1810" w:rsidRPr="003A1810" w:rsidRDefault="003A1810" w:rsidP="003A1810"/>
    <w:p w14:paraId="0816FFCE" w14:textId="5F4046F4" w:rsidR="003A1810" w:rsidRPr="003427C0" w:rsidRDefault="008D6AE4" w:rsidP="003A1810">
      <w:pPr>
        <w:jc w:val="both"/>
        <w:rPr>
          <w:szCs w:val="24"/>
        </w:rPr>
      </w:pPr>
      <w:r>
        <w:t xml:space="preserve">Le vérificateur des dépenses doit évaluer les risques d’erreurs ou d’inexactitudes significatives parmi les dépenses et les recettes déclarées dans le rapport financier afin de déterminer la taille et la structure de l’échantillon de dépenses à </w:t>
      </w:r>
      <w:r w:rsidR="00F12D2B">
        <w:t>examiner</w:t>
      </w:r>
      <w:r>
        <w:t xml:space="preserve"> conformément aux procédures décrites à la section 2.</w:t>
      </w:r>
    </w:p>
    <w:p w14:paraId="75603888" w14:textId="77777777" w:rsidR="003A1810" w:rsidRPr="003427C0" w:rsidRDefault="003A1810" w:rsidP="003A1810">
      <w:pPr>
        <w:jc w:val="both"/>
        <w:rPr>
          <w:szCs w:val="24"/>
        </w:rPr>
      </w:pPr>
    </w:p>
    <w:p w14:paraId="0765AA2D" w14:textId="4292928D" w:rsidR="008D6AE4" w:rsidRPr="003427C0" w:rsidRDefault="008D6AE4" w:rsidP="003A1810">
      <w:pPr>
        <w:jc w:val="both"/>
        <w:rPr>
          <w:szCs w:val="24"/>
        </w:rPr>
      </w:pPr>
      <w:r>
        <w:t>Ce travail implique d’évaluer les risques</w:t>
      </w:r>
      <w:r w:rsidR="007E65A4">
        <w:t xml:space="preserve"> </w:t>
      </w:r>
      <w:r>
        <w:t>inhérents</w:t>
      </w:r>
      <w:r w:rsidR="007E65A4">
        <w:t xml:space="preserve"> que</w:t>
      </w:r>
      <w:r>
        <w:t>:</w:t>
      </w:r>
    </w:p>
    <w:p w14:paraId="623E420F" w14:textId="4891FCC1" w:rsidR="00181A77" w:rsidRPr="003427C0" w:rsidRDefault="00181A77" w:rsidP="00181A77">
      <w:pPr>
        <w:jc w:val="both"/>
        <w:rPr>
          <w:szCs w:val="24"/>
        </w:rPr>
      </w:pPr>
      <w:r>
        <w:t>•</w:t>
      </w:r>
      <w:r>
        <w:tab/>
        <w:t xml:space="preserve">le rapport financier ne soit pas fiable, c’est-à-dire qu’il ne présente pas, dans tous leurs aspects significatifs, les dépenses réelles engagées et les recettes </w:t>
      </w:r>
      <w:r w:rsidR="003C66B0">
        <w:t>effectivement</w:t>
      </w:r>
      <w:r>
        <w:t xml:space="preserve"> perçues conformément aux conditions </w:t>
      </w:r>
      <w:r w:rsidR="00F12D2B">
        <w:t>contractuelles</w:t>
      </w:r>
      <w:r w:rsidR="003C66B0">
        <w:t xml:space="preserve"> </w:t>
      </w:r>
      <w:r>
        <w:t>applicables;</w:t>
      </w:r>
    </w:p>
    <w:p w14:paraId="09791EC2" w14:textId="7035E71B" w:rsidR="003A1810" w:rsidRPr="003427C0" w:rsidRDefault="003A1810" w:rsidP="003A1810">
      <w:pPr>
        <w:jc w:val="both"/>
        <w:rPr>
          <w:szCs w:val="24"/>
        </w:rPr>
      </w:pPr>
      <w:r>
        <w:t>•</w:t>
      </w:r>
      <w:r>
        <w:tab/>
        <w:t>les dépenses déclarées dans le rapport financier n’aient pas, dans tous leurs aspects significatifs, été engagées conformément aux conditions applicables;</w:t>
      </w:r>
    </w:p>
    <w:p w14:paraId="069D9BC6" w14:textId="5EEFED92" w:rsidR="00181A77" w:rsidRPr="003427C0" w:rsidRDefault="00181A77" w:rsidP="003A1810">
      <w:pPr>
        <w:jc w:val="both"/>
        <w:rPr>
          <w:szCs w:val="24"/>
        </w:rPr>
      </w:pPr>
      <w:r>
        <w:t>•</w:t>
      </w:r>
      <w:r>
        <w:tab/>
        <w:t xml:space="preserve">les recettes générées par l’entité déclarante dans le cadre de l’exécution du contrat ne soient pas déduites des dépenses déclarées conformément aux conditions applicables; </w:t>
      </w:r>
    </w:p>
    <w:p w14:paraId="676D9D3F" w14:textId="1D3276E1" w:rsidR="008D6AE4" w:rsidRPr="003427C0" w:rsidRDefault="008D6AE4" w:rsidP="003A1810">
      <w:pPr>
        <w:jc w:val="both"/>
        <w:rPr>
          <w:szCs w:val="24"/>
        </w:rPr>
      </w:pPr>
      <w:r>
        <w:t>•</w:t>
      </w:r>
      <w:r>
        <w:tab/>
      </w:r>
      <w:r w:rsidR="003C66B0">
        <w:t xml:space="preserve">des fraudes et des irrégularités </w:t>
      </w:r>
      <w:r>
        <w:t>aient eu lieu</w:t>
      </w:r>
      <w:r w:rsidR="003C66B0">
        <w:t>,</w:t>
      </w:r>
      <w:r>
        <w:t xml:space="preserve"> susceptibles d’avoir eu une incidence sur les dépenses et/ou les recettes déclarées dans le cadre du contrat.</w:t>
      </w:r>
    </w:p>
    <w:p w14:paraId="73365B11" w14:textId="77777777" w:rsidR="00663A17" w:rsidRPr="003427C0" w:rsidRDefault="00663A17" w:rsidP="003A1810">
      <w:pPr>
        <w:jc w:val="both"/>
        <w:rPr>
          <w:szCs w:val="24"/>
        </w:rPr>
      </w:pPr>
    </w:p>
    <w:p w14:paraId="07508B92" w14:textId="18A17CDC" w:rsidR="00E4025D" w:rsidRPr="003427C0" w:rsidRDefault="008D6AE4" w:rsidP="004C6C45">
      <w:pPr>
        <w:jc w:val="both"/>
        <w:rPr>
          <w:szCs w:val="24"/>
        </w:rPr>
      </w:pPr>
      <w:r>
        <w:t xml:space="preserve">Le vérificateur des dépenses doit évaluer le risque inhérent en fonction, notamment, du nombre et de la complexité des transactions, de la complexité des activités prévues par le contrat, du nombre d’entités </w:t>
      </w:r>
      <w:r w:rsidR="00C91CE1">
        <w:t>participant à la</w:t>
      </w:r>
      <w:r>
        <w:t xml:space="preserve"> mise en œuvre et de l’environnement dans lequel le contrat est exécuté. En outre, le vérificateur des dépenses, en se fondant notamment sur les informations fournies à l’annexe 1 des termes de référence (</w:t>
      </w:r>
      <w:r>
        <w:rPr>
          <w:i/>
        </w:rPr>
        <w:t>contexte du mandat / informations essentielles</w:t>
      </w:r>
      <w:r>
        <w:t xml:space="preserve">), prendra en considération le risque de </w:t>
      </w:r>
      <w:r w:rsidRPr="007E65A4">
        <w:t>non-</w:t>
      </w:r>
      <w:r>
        <w:t>contrôle, c’est-à-dire la question de savoir si la conception du système de contrôle interne atténue suffisamment les risques inhérents détectés et s’il est plausible qu’il fonctionne efficacement.</w:t>
      </w:r>
    </w:p>
    <w:p w14:paraId="38072533" w14:textId="77777777" w:rsidR="008D6AE4" w:rsidRPr="00E4025D" w:rsidRDefault="008D6AE4" w:rsidP="00E4025D"/>
    <w:p w14:paraId="052AE21C" w14:textId="77777777" w:rsidR="00615B57" w:rsidRDefault="003427C0" w:rsidP="003427C0">
      <w:pPr>
        <w:pStyle w:val="Heading1"/>
        <w:numPr>
          <w:ilvl w:val="0"/>
          <w:numId w:val="0"/>
        </w:numPr>
        <w:ind w:left="432" w:hanging="432"/>
      </w:pPr>
      <w:bookmarkStart w:id="3" w:name="_Toc506468587"/>
      <w:bookmarkStart w:id="4" w:name="_Toc520275843"/>
      <w:r>
        <w:t>2. PROCÉDURES DE VÉRIFICATION DES DÉPENSES</w:t>
      </w:r>
      <w:bookmarkEnd w:id="3"/>
      <w:bookmarkEnd w:id="4"/>
      <w:r>
        <w:t xml:space="preserve"> </w:t>
      </w:r>
    </w:p>
    <w:p w14:paraId="5930F1B6" w14:textId="77777777" w:rsidR="00345F3C" w:rsidRPr="00345F3C" w:rsidRDefault="00345F3C" w:rsidP="00345F3C"/>
    <w:p w14:paraId="4A1B8585" w14:textId="00F129BB" w:rsidR="00F82C27" w:rsidRDefault="00E5478E" w:rsidP="00C42151">
      <w:pPr>
        <w:jc w:val="both"/>
        <w:rPr>
          <w:szCs w:val="24"/>
        </w:rPr>
      </w:pPr>
      <w:r>
        <w:t xml:space="preserve">Le vérificateur des dépenses doit procéder aux contrôles suivants, sauf s’ils ne sont pas pertinents compte tenu des critères d’éligibilité applicables au type de contrat. Le vérificateur des dépenses est donc tenu d’acquérir une compréhension suffisante de ces exigences </w:t>
      </w:r>
      <w:r w:rsidR="007E65A4">
        <w:t>afin d'</w:t>
      </w:r>
      <w:r>
        <w:t xml:space="preserve">effectuer uniquement les contrôles pertinents et appliquer correctement les conditions d’éligibilité pertinentes. </w:t>
      </w:r>
    </w:p>
    <w:p w14:paraId="45B5AD08" w14:textId="3C5FAA2A" w:rsidR="00960B95" w:rsidRPr="003427C0" w:rsidRDefault="00960B95" w:rsidP="00C42151">
      <w:pPr>
        <w:jc w:val="both"/>
        <w:rPr>
          <w:szCs w:val="24"/>
        </w:rPr>
      </w:pPr>
    </w:p>
    <w:p w14:paraId="65BBE48B" w14:textId="77777777" w:rsidR="00986AAC" w:rsidRPr="003427C0" w:rsidRDefault="00F42112" w:rsidP="00F42112">
      <w:pPr>
        <w:pStyle w:val="Heading2"/>
        <w:numPr>
          <w:ilvl w:val="0"/>
          <w:numId w:val="0"/>
        </w:numPr>
        <w:rPr>
          <w:color w:val="000000"/>
          <w:szCs w:val="24"/>
        </w:rPr>
      </w:pPr>
      <w:bookmarkStart w:id="5" w:name="_Toc506468588"/>
      <w:bookmarkStart w:id="6" w:name="_Toc520275844"/>
      <w:r>
        <w:rPr>
          <w:color w:val="000000"/>
        </w:rPr>
        <w:t xml:space="preserve">2.1 </w:t>
      </w:r>
      <w:r>
        <w:tab/>
      </w:r>
      <w:r>
        <w:rPr>
          <w:color w:val="000000"/>
        </w:rPr>
        <w:t>Les dépenses ont été engagées par l’entité et concernent l’entité</w:t>
      </w:r>
      <w:bookmarkEnd w:id="5"/>
      <w:bookmarkEnd w:id="6"/>
    </w:p>
    <w:p w14:paraId="743BA420" w14:textId="77777777" w:rsidR="00DB6F0C" w:rsidRDefault="00F42112" w:rsidP="00F42112">
      <w:pPr>
        <w:pStyle w:val="Heading2"/>
        <w:numPr>
          <w:ilvl w:val="0"/>
          <w:numId w:val="0"/>
        </w:numPr>
        <w:jc w:val="both"/>
      </w:pPr>
      <w:bookmarkStart w:id="7" w:name="_Toc506468589"/>
      <w:bookmarkStart w:id="8" w:name="_Toc520275845"/>
      <w:r>
        <w:t xml:space="preserve">2.2 </w:t>
      </w:r>
      <w:r>
        <w:tab/>
        <w:t>Les dépenses sont enregistrées dans le système comptable de l’entité déclarante ou des autres entités ayant engagé des dépenses</w:t>
      </w:r>
      <w:bookmarkEnd w:id="7"/>
      <w:bookmarkEnd w:id="8"/>
    </w:p>
    <w:p w14:paraId="2F145497" w14:textId="77777777" w:rsidR="00986AAC" w:rsidRPr="003427C0" w:rsidRDefault="00345F3C" w:rsidP="00986AAC">
      <w:pPr>
        <w:spacing w:before="120" w:after="120"/>
        <w:jc w:val="both"/>
        <w:rPr>
          <w:color w:val="000000"/>
          <w:szCs w:val="24"/>
        </w:rPr>
      </w:pPr>
      <w:r>
        <w:rPr>
          <w:color w:val="000000"/>
        </w:rPr>
        <w:t>Les dépenses sont enregistrées dans le système comptable de l’entité déclarante ou des autres entités ayant engagé des dépenses conformément aux normes comptables applicables et aux pratiques habituelles de l’entité déclarante en matière de comptabilité analytique.</w:t>
      </w:r>
    </w:p>
    <w:p w14:paraId="39FDED29" w14:textId="77777777" w:rsidR="00615B57" w:rsidRDefault="00F42112" w:rsidP="00F42112">
      <w:pPr>
        <w:pStyle w:val="Heading2"/>
        <w:numPr>
          <w:ilvl w:val="0"/>
          <w:numId w:val="0"/>
        </w:numPr>
      </w:pPr>
      <w:bookmarkStart w:id="9" w:name="_Toc506468590"/>
      <w:bookmarkStart w:id="10" w:name="_Toc520275846"/>
      <w:r>
        <w:lastRenderedPageBreak/>
        <w:t>2.3</w:t>
      </w:r>
      <w:r>
        <w:tab/>
        <w:t>Les dépenses ont été engagées pendant la période d’éligibilité contractuelle</w:t>
      </w:r>
      <w:bookmarkEnd w:id="9"/>
      <w:bookmarkEnd w:id="10"/>
      <w:r>
        <w:t xml:space="preserve"> </w:t>
      </w:r>
    </w:p>
    <w:p w14:paraId="5D802299" w14:textId="77777777" w:rsidR="00986AAC" w:rsidRPr="003427C0" w:rsidRDefault="00986AAC" w:rsidP="003427C0">
      <w:pPr>
        <w:spacing w:before="120" w:after="120"/>
        <w:jc w:val="both"/>
        <w:rPr>
          <w:color w:val="000000"/>
          <w:szCs w:val="24"/>
        </w:rPr>
      </w:pPr>
      <w:r>
        <w:rPr>
          <w:color w:val="000000"/>
        </w:rPr>
        <w:t xml:space="preserve">Les dépenses déclarées dans le rapport financier ont été </w:t>
      </w:r>
      <w:r>
        <w:rPr>
          <w:color w:val="000000"/>
          <w:u w:val="single"/>
        </w:rPr>
        <w:t>engagées</w:t>
      </w:r>
      <w:r>
        <w:rPr>
          <w:color w:val="000000"/>
        </w:rPr>
        <w:t xml:space="preserve"> pendant la période contractuelle de mise en œuvre de l’action, à l’exception des dépenses relatives aux rapports finaux, à la vérification des dépenses, à l’audit et à l’évaluation. Les dépenses </w:t>
      </w:r>
      <w:r>
        <w:rPr>
          <w:color w:val="000000"/>
          <w:u w:val="single"/>
        </w:rPr>
        <w:t>payées</w:t>
      </w:r>
      <w:r>
        <w:rPr>
          <w:color w:val="000000"/>
        </w:rPr>
        <w:t xml:space="preserve"> après la présentation du rapport financier sont indiquées dans le rapport final avec la date de paiement estimée.</w:t>
      </w:r>
    </w:p>
    <w:p w14:paraId="17BC2638" w14:textId="77777777" w:rsidR="00E4025D" w:rsidRDefault="00F42112" w:rsidP="00F42112">
      <w:pPr>
        <w:pStyle w:val="Heading2"/>
        <w:numPr>
          <w:ilvl w:val="0"/>
          <w:numId w:val="0"/>
        </w:numPr>
      </w:pPr>
      <w:bookmarkStart w:id="11" w:name="_Toc506468591"/>
      <w:bookmarkStart w:id="12" w:name="_Toc520275847"/>
      <w:r>
        <w:t>2.4</w:t>
      </w:r>
      <w:r>
        <w:tab/>
        <w:t>Les dépenses étaient indiquées dans le budget prévisionnel contractuel</w:t>
      </w:r>
      <w:bookmarkEnd w:id="11"/>
      <w:bookmarkEnd w:id="12"/>
    </w:p>
    <w:p w14:paraId="2812F5A2" w14:textId="77777777" w:rsidR="00986AAC" w:rsidRPr="003427C0" w:rsidRDefault="005F75A3" w:rsidP="003427C0">
      <w:pPr>
        <w:spacing w:before="120" w:after="120"/>
        <w:jc w:val="both"/>
        <w:rPr>
          <w:color w:val="000000"/>
          <w:szCs w:val="24"/>
        </w:rPr>
      </w:pPr>
      <w:r>
        <w:rPr>
          <w:color w:val="000000"/>
        </w:rPr>
        <w:t>Les dépenses figurant dans le rapport financier étaient indiquées dans le budget contractuel.</w:t>
      </w:r>
    </w:p>
    <w:p w14:paraId="7A65FFAB" w14:textId="77777777" w:rsidR="005F75A3" w:rsidRPr="003427C0" w:rsidRDefault="005F75A3" w:rsidP="003427C0">
      <w:pPr>
        <w:spacing w:before="120" w:after="120"/>
        <w:jc w:val="both"/>
        <w:rPr>
          <w:color w:val="000000"/>
          <w:szCs w:val="24"/>
        </w:rPr>
      </w:pPr>
      <w:r>
        <w:rPr>
          <w:color w:val="000000"/>
        </w:rPr>
        <w:t>Les plafonds budgétaires applicables n’ont pas été dépassés.</w:t>
      </w:r>
    </w:p>
    <w:p w14:paraId="360E4FB0" w14:textId="77777777" w:rsidR="00410229" w:rsidRPr="003427C0" w:rsidRDefault="00410229" w:rsidP="003427C0">
      <w:pPr>
        <w:spacing w:before="120" w:after="120"/>
        <w:jc w:val="both"/>
        <w:rPr>
          <w:color w:val="000000"/>
          <w:szCs w:val="24"/>
        </w:rPr>
      </w:pPr>
      <w:r>
        <w:rPr>
          <w:color w:val="000000"/>
        </w:rPr>
        <w:t>Les dépenses ont été affectées aux bonnes rubriques du rapport financier.</w:t>
      </w:r>
    </w:p>
    <w:p w14:paraId="5E13E37C" w14:textId="77777777" w:rsidR="00960B95" w:rsidRDefault="00F42112" w:rsidP="00F42112">
      <w:pPr>
        <w:pStyle w:val="Heading2"/>
        <w:numPr>
          <w:ilvl w:val="0"/>
          <w:numId w:val="0"/>
        </w:numPr>
        <w:jc w:val="both"/>
      </w:pPr>
      <w:bookmarkStart w:id="13" w:name="_Toc506468592"/>
      <w:bookmarkStart w:id="14" w:name="_Toc520275848"/>
      <w:r>
        <w:t>2.5</w:t>
      </w:r>
      <w:r>
        <w:tab/>
        <w:t>Les dépenses nécessaires à la mise en œuvre des activités contractuelles sont raisonnables et justifiées</w:t>
      </w:r>
      <w:bookmarkEnd w:id="13"/>
      <w:bookmarkEnd w:id="14"/>
    </w:p>
    <w:p w14:paraId="3C0AF000" w14:textId="77777777" w:rsidR="003427C0" w:rsidRPr="003427C0" w:rsidRDefault="003427C0" w:rsidP="003427C0"/>
    <w:p w14:paraId="0AA615AE" w14:textId="77777777" w:rsidR="00960B95" w:rsidRPr="003427C0" w:rsidRDefault="001B66CF" w:rsidP="009E5577">
      <w:pPr>
        <w:jc w:val="both"/>
        <w:rPr>
          <w:color w:val="000000"/>
          <w:szCs w:val="24"/>
        </w:rPr>
      </w:pPr>
      <w:r>
        <w:rPr>
          <w:color w:val="000000"/>
        </w:rPr>
        <w:t>Selon toute vraisemblance, les dépenses directes et indirectes comprises dans le rapport financier étaient nécessaires à la réalisation des activités contractuelles.</w:t>
      </w:r>
    </w:p>
    <w:p w14:paraId="209A7A59" w14:textId="77777777" w:rsidR="00471816" w:rsidRPr="003427C0" w:rsidRDefault="00471816" w:rsidP="009E5577">
      <w:pPr>
        <w:jc w:val="both"/>
        <w:rPr>
          <w:color w:val="000000"/>
          <w:szCs w:val="24"/>
        </w:rPr>
      </w:pPr>
    </w:p>
    <w:p w14:paraId="61545C68" w14:textId="77777777" w:rsidR="001B66CF" w:rsidRPr="003427C0" w:rsidRDefault="001B66CF" w:rsidP="009E5577">
      <w:pPr>
        <w:jc w:val="both"/>
        <w:rPr>
          <w:color w:val="000000"/>
          <w:szCs w:val="24"/>
        </w:rPr>
      </w:pPr>
      <w:r>
        <w:rPr>
          <w:color w:val="000000"/>
        </w:rPr>
        <w:t>Le montant des postes de dépenses figurant dans le rapport financier est raisonnable et justifié et respecte le principe de bonne gestion financière.</w:t>
      </w:r>
    </w:p>
    <w:p w14:paraId="7C69E4D5" w14:textId="77777777" w:rsidR="00960B95" w:rsidRDefault="00F42112" w:rsidP="00F42112">
      <w:pPr>
        <w:pStyle w:val="Heading2"/>
        <w:numPr>
          <w:ilvl w:val="0"/>
          <w:numId w:val="0"/>
        </w:numPr>
      </w:pPr>
      <w:bookmarkStart w:id="15" w:name="_Toc506468593"/>
      <w:bookmarkStart w:id="16" w:name="_Toc520275849"/>
      <w:r>
        <w:t>2.6</w:t>
      </w:r>
      <w:r>
        <w:tab/>
        <w:t>Les dépenses sont identifiables et vérifiables</w:t>
      </w:r>
      <w:bookmarkEnd w:id="15"/>
      <w:bookmarkEnd w:id="16"/>
    </w:p>
    <w:p w14:paraId="057CC488" w14:textId="25C137B6" w:rsidR="00986AAC" w:rsidRDefault="001B66CF" w:rsidP="003427C0">
      <w:pPr>
        <w:jc w:val="both"/>
        <w:rPr>
          <w:color w:val="000000"/>
          <w:szCs w:val="24"/>
        </w:rPr>
      </w:pPr>
      <w:r>
        <w:rPr>
          <w:color w:val="000000"/>
        </w:rPr>
        <w:t xml:space="preserve">Les dépenses sont </w:t>
      </w:r>
      <w:r w:rsidR="00435102">
        <w:rPr>
          <w:color w:val="000000"/>
        </w:rPr>
        <w:t>étayées</w:t>
      </w:r>
      <w:r>
        <w:rPr>
          <w:color w:val="000000"/>
        </w:rPr>
        <w:t xml:space="preserve"> par des pièces justificatives suffisantes (par exemple factures, contrats, bons de commande, fiches de paie, feuilles de présence) et par des preuves de paiement. </w:t>
      </w:r>
    </w:p>
    <w:p w14:paraId="1E8C4058" w14:textId="77777777" w:rsidR="00A14E1D" w:rsidRDefault="00A14E1D" w:rsidP="003427C0">
      <w:pPr>
        <w:jc w:val="both"/>
        <w:rPr>
          <w:color w:val="000000"/>
          <w:szCs w:val="24"/>
        </w:rPr>
      </w:pPr>
    </w:p>
    <w:p w14:paraId="058D2685" w14:textId="6C4A62D0" w:rsidR="00A14E1D" w:rsidRPr="00642D53" w:rsidRDefault="00730B2C" w:rsidP="003427C0">
      <w:pPr>
        <w:jc w:val="both"/>
        <w:rPr>
          <w:color w:val="000000"/>
          <w:szCs w:val="24"/>
        </w:rPr>
      </w:pPr>
      <w:r>
        <w:rPr>
          <w:color w:val="000000"/>
        </w:rPr>
        <w:t xml:space="preserve">Lorsque les dépenses </w:t>
      </w:r>
      <w:r w:rsidR="00435102">
        <w:rPr>
          <w:color w:val="000000"/>
        </w:rPr>
        <w:t>ont été</w:t>
      </w:r>
      <w:r>
        <w:rPr>
          <w:color w:val="000000"/>
        </w:rPr>
        <w:t xml:space="preserve"> réparties, la clé de répartition appliquée s</w:t>
      </w:r>
      <w:r w:rsidR="00131802">
        <w:rPr>
          <w:color w:val="000000"/>
        </w:rPr>
        <w:t>'</w:t>
      </w:r>
      <w:r>
        <w:rPr>
          <w:color w:val="000000"/>
        </w:rPr>
        <w:t>e</w:t>
      </w:r>
      <w:r w:rsidR="00131802">
        <w:rPr>
          <w:color w:val="000000"/>
        </w:rPr>
        <w:t>st appuyé</w:t>
      </w:r>
      <w:r>
        <w:rPr>
          <w:color w:val="000000"/>
        </w:rPr>
        <w:t xml:space="preserve"> sur des informations sous-jacentes suffisantes, appropriées et vérifiables.</w:t>
      </w:r>
    </w:p>
    <w:p w14:paraId="130B78C9" w14:textId="77777777" w:rsidR="001B66CF" w:rsidRPr="00642D53" w:rsidRDefault="001B66CF" w:rsidP="003427C0">
      <w:pPr>
        <w:jc w:val="both"/>
        <w:rPr>
          <w:color w:val="000000"/>
          <w:szCs w:val="24"/>
        </w:rPr>
      </w:pPr>
    </w:p>
    <w:p w14:paraId="3A2580E6" w14:textId="77777777" w:rsidR="00986AAC" w:rsidRPr="00642D53" w:rsidRDefault="001B66CF" w:rsidP="003427C0">
      <w:pPr>
        <w:jc w:val="both"/>
        <w:rPr>
          <w:color w:val="000000"/>
          <w:szCs w:val="24"/>
        </w:rPr>
      </w:pPr>
      <w:r>
        <w:rPr>
          <w:color w:val="000000"/>
        </w:rPr>
        <w:t>Les dépenses sont confirmées par des preuves que les travaux ont été réalisés, les biens reçus ou les services rendus. L’existence d’actifs est vérifiable.</w:t>
      </w:r>
    </w:p>
    <w:p w14:paraId="4BCED524" w14:textId="122E3129" w:rsidR="00410229" w:rsidRDefault="00F42112" w:rsidP="00F42112">
      <w:pPr>
        <w:pStyle w:val="Heading2"/>
        <w:numPr>
          <w:ilvl w:val="0"/>
          <w:numId w:val="0"/>
        </w:numPr>
        <w:jc w:val="both"/>
      </w:pPr>
      <w:bookmarkStart w:id="17" w:name="_Toc506468594"/>
      <w:bookmarkStart w:id="18" w:name="_Toc520275850"/>
      <w:r>
        <w:t>2.7</w:t>
      </w:r>
      <w:r>
        <w:tab/>
      </w:r>
      <w:r w:rsidR="008C19BA">
        <w:t>Conformité aux</w:t>
      </w:r>
      <w:r w:rsidR="00AD4962">
        <w:t xml:space="preserve"> règles</w:t>
      </w:r>
      <w:r>
        <w:t xml:space="preserve"> de passation de marchés et </w:t>
      </w:r>
      <w:r w:rsidR="008C19BA">
        <w:t>aux</w:t>
      </w:r>
      <w:r>
        <w:t xml:space="preserve"> règles de nationalité et d’origine</w:t>
      </w:r>
      <w:bookmarkEnd w:id="17"/>
      <w:bookmarkEnd w:id="18"/>
    </w:p>
    <w:p w14:paraId="58D39AE5" w14:textId="610C6723" w:rsidR="00410229" w:rsidRPr="00642D53" w:rsidRDefault="00293FEF" w:rsidP="009E5577">
      <w:pPr>
        <w:jc w:val="both"/>
        <w:rPr>
          <w:color w:val="000000"/>
          <w:szCs w:val="24"/>
        </w:rPr>
      </w:pPr>
      <w:r>
        <w:rPr>
          <w:color w:val="000000"/>
        </w:rPr>
        <w:t xml:space="preserve">Pour les postes de dépenses concernés, l’entité déclarante </w:t>
      </w:r>
      <w:r w:rsidR="00AD4962">
        <w:rPr>
          <w:color w:val="000000"/>
        </w:rPr>
        <w:t>s'est conformée aux</w:t>
      </w:r>
      <w:r>
        <w:rPr>
          <w:color w:val="000000"/>
        </w:rPr>
        <w:t xml:space="preserve"> exigences contractuelles en matière de passation de marchés. Les règles contractuelles de nationalité et d’origine ont été appliquées, y compris les règles relatives aux dérogations qui doivent être accordées par la Commission.</w:t>
      </w:r>
    </w:p>
    <w:p w14:paraId="48EA34B5" w14:textId="2DDF2EE4" w:rsidR="00960B95" w:rsidRDefault="00F42112" w:rsidP="00F42112">
      <w:pPr>
        <w:pStyle w:val="Heading2"/>
        <w:numPr>
          <w:ilvl w:val="0"/>
          <w:numId w:val="0"/>
        </w:numPr>
        <w:jc w:val="both"/>
      </w:pPr>
      <w:bookmarkStart w:id="19" w:name="_Toc506468595"/>
      <w:bookmarkStart w:id="20" w:name="_Toc520275851"/>
      <w:r>
        <w:lastRenderedPageBreak/>
        <w:t>2.8</w:t>
      </w:r>
      <w:r>
        <w:tab/>
        <w:t>Les dépenses s</w:t>
      </w:r>
      <w:r w:rsidR="00AD4962">
        <w:t>ont conformes</w:t>
      </w:r>
      <w:r>
        <w:t xml:space="preserve"> aux exigences de la législation fiscale et sociale applicable</w:t>
      </w:r>
      <w:bookmarkEnd w:id="19"/>
      <w:bookmarkEnd w:id="20"/>
    </w:p>
    <w:p w14:paraId="5BF4E4B6" w14:textId="2D4D0B72" w:rsidR="00986AAC" w:rsidRPr="00642D53" w:rsidRDefault="00293FEF" w:rsidP="00986AAC">
      <w:pPr>
        <w:spacing w:before="120" w:after="120"/>
        <w:jc w:val="both"/>
        <w:rPr>
          <w:color w:val="000000"/>
          <w:szCs w:val="24"/>
        </w:rPr>
      </w:pPr>
      <w:r>
        <w:rPr>
          <w:color w:val="000000"/>
        </w:rPr>
        <w:t>Pour les postes de dépenses concernés, l’entité déclarante respecte les exigences de la législation fiscale et sociale (concernant par exemple la part des employeurs à l’impôt, les cotisations de retraite et les cotisations de sécurité sociale).</w:t>
      </w:r>
    </w:p>
    <w:p w14:paraId="5CF6F59A" w14:textId="6616A5AF" w:rsidR="00087C96" w:rsidRDefault="00F42112" w:rsidP="00F42112">
      <w:pPr>
        <w:pStyle w:val="Heading2"/>
        <w:numPr>
          <w:ilvl w:val="0"/>
          <w:numId w:val="0"/>
        </w:numPr>
      </w:pPr>
      <w:bookmarkStart w:id="21" w:name="_Toc506468596"/>
      <w:bookmarkStart w:id="22" w:name="_Toc520275852"/>
      <w:r>
        <w:t>2.9</w:t>
      </w:r>
      <w:r>
        <w:tab/>
        <w:t>Soutien financier à des tiers (subventions</w:t>
      </w:r>
      <w:r w:rsidR="00C45051">
        <w:t xml:space="preserve"> en cascade</w:t>
      </w:r>
      <w:r>
        <w:t>)</w:t>
      </w:r>
      <w:bookmarkEnd w:id="21"/>
      <w:bookmarkEnd w:id="22"/>
    </w:p>
    <w:p w14:paraId="09390CD6" w14:textId="77777777" w:rsidR="00087C96" w:rsidRPr="00642D53" w:rsidRDefault="009A1EF0" w:rsidP="00986AAC">
      <w:pPr>
        <w:spacing w:before="120" w:after="120"/>
        <w:jc w:val="both"/>
        <w:rPr>
          <w:color w:val="000000"/>
          <w:szCs w:val="24"/>
        </w:rPr>
      </w:pPr>
      <w:r>
        <w:rPr>
          <w:color w:val="000000"/>
        </w:rPr>
        <w:t>Le soutien financier à des tiers est prévu par les conditions contractuelles et son montant n’excède pas les limites contractuelles.</w:t>
      </w:r>
    </w:p>
    <w:p w14:paraId="6CAE12D4" w14:textId="77777777" w:rsidR="00087C96" w:rsidRPr="00642D53" w:rsidRDefault="00C510AF" w:rsidP="00986AAC">
      <w:pPr>
        <w:spacing w:before="120" w:after="120"/>
        <w:jc w:val="both"/>
        <w:rPr>
          <w:color w:val="000000"/>
          <w:szCs w:val="24"/>
        </w:rPr>
      </w:pPr>
      <w:r>
        <w:rPr>
          <w:color w:val="000000"/>
        </w:rPr>
        <w:t>Les dépenses engagées par les tiers répondent aux conditions d’éligibilité pertinentes. En particulier, elles ont été engagées par le tiers et concernent le tiers, elles ont été encourues pendant la période d’éligibilité contractuelle, elles sont nécessaires à la mise en œuvre des activités contractuelles et sont identifiables et vérifiables (voir la définition au point 2.6).</w:t>
      </w:r>
    </w:p>
    <w:p w14:paraId="6D154BD8" w14:textId="77777777" w:rsidR="00DB6F0C" w:rsidRPr="00615B57" w:rsidRDefault="00F42112" w:rsidP="00F42112">
      <w:pPr>
        <w:pStyle w:val="Heading2"/>
        <w:numPr>
          <w:ilvl w:val="0"/>
          <w:numId w:val="0"/>
        </w:numPr>
      </w:pPr>
      <w:bookmarkStart w:id="23" w:name="_Toc506468597"/>
      <w:bookmarkStart w:id="24" w:name="_Toc520275853"/>
      <w:r>
        <w:t>2.10</w:t>
      </w:r>
      <w:r>
        <w:tab/>
        <w:t>Autres conditions d’éligibilité</w:t>
      </w:r>
      <w:bookmarkEnd w:id="23"/>
      <w:bookmarkEnd w:id="24"/>
    </w:p>
    <w:p w14:paraId="650B8EFC" w14:textId="59EDC02A" w:rsidR="00DB6F0C" w:rsidRPr="00642D53" w:rsidRDefault="00DB6F0C" w:rsidP="00DB6F0C">
      <w:pPr>
        <w:spacing w:before="120" w:after="120"/>
        <w:jc w:val="both"/>
        <w:rPr>
          <w:color w:val="000000"/>
          <w:szCs w:val="24"/>
        </w:rPr>
      </w:pPr>
      <w:r>
        <w:rPr>
          <w:color w:val="000000"/>
        </w:rPr>
        <w:t xml:space="preserve">Les </w:t>
      </w:r>
      <w:r w:rsidR="00C45051">
        <w:rPr>
          <w:color w:val="000000"/>
        </w:rPr>
        <w:t xml:space="preserve">droits, </w:t>
      </w:r>
      <w:r>
        <w:rPr>
          <w:color w:val="000000"/>
        </w:rPr>
        <w:t xml:space="preserve">impôts </w:t>
      </w:r>
      <w:r w:rsidR="00C45051">
        <w:rPr>
          <w:color w:val="000000"/>
        </w:rPr>
        <w:t xml:space="preserve">et </w:t>
      </w:r>
      <w:r>
        <w:rPr>
          <w:color w:val="000000"/>
        </w:rPr>
        <w:t>taxes (par exemple la TVA) indiqués dans le rapport financier ne peuvent pas être récupérés par l’entité, sauf dispositions contraires des conditions contractuelles (système de coûts acceptés). Dans ce dernier cas, ces dépenses sont déclarées séparément et relèvent des dépenses directes éligibles.</w:t>
      </w:r>
    </w:p>
    <w:p w14:paraId="07793A95" w14:textId="77777777" w:rsidR="00DB6F0C" w:rsidRPr="00642D53" w:rsidRDefault="00DB6F0C" w:rsidP="00DB6F0C">
      <w:pPr>
        <w:spacing w:before="120" w:after="120"/>
        <w:jc w:val="both"/>
        <w:rPr>
          <w:color w:val="000000"/>
          <w:szCs w:val="24"/>
        </w:rPr>
      </w:pPr>
      <w:r>
        <w:rPr>
          <w:color w:val="000000"/>
        </w:rPr>
        <w:t>Des taux de change corrects sont utilisés, le cas échéant.</w:t>
      </w:r>
    </w:p>
    <w:p w14:paraId="50C92238" w14:textId="10F1F1FD" w:rsidR="00DB6F0C" w:rsidRPr="00642D53" w:rsidRDefault="00DB6F0C" w:rsidP="00DB6F0C">
      <w:pPr>
        <w:spacing w:before="120" w:after="120"/>
        <w:jc w:val="both"/>
        <w:rPr>
          <w:color w:val="000000"/>
          <w:szCs w:val="24"/>
        </w:rPr>
      </w:pPr>
      <w:r>
        <w:rPr>
          <w:color w:val="000000"/>
        </w:rPr>
        <w:t>La réserve pour imprévus a été créée conformément aux conditions contractuelles et son utilisation est autorisée par l</w:t>
      </w:r>
      <w:r w:rsidR="00422872">
        <w:rPr>
          <w:color w:val="000000"/>
        </w:rPr>
        <w:t>e pouvoir adjudicateur</w:t>
      </w:r>
      <w:r>
        <w:rPr>
          <w:color w:val="000000"/>
        </w:rPr>
        <w:t>.</w:t>
      </w:r>
    </w:p>
    <w:p w14:paraId="4F32B21B" w14:textId="77777777" w:rsidR="00DB6F0C" w:rsidRPr="00642D53" w:rsidRDefault="00DB6F0C" w:rsidP="00DB6F0C">
      <w:pPr>
        <w:spacing w:before="120" w:after="120"/>
        <w:jc w:val="both"/>
        <w:rPr>
          <w:color w:val="000000"/>
          <w:szCs w:val="24"/>
        </w:rPr>
      </w:pPr>
      <w:r>
        <w:rPr>
          <w:color w:val="000000"/>
        </w:rPr>
        <w:t>Les coûts indirects n’excèdent pas le pourcentage maximal contractuel des coûts directs éligibles et ne comprennent pas de dépenses inéligibles ni de dépenses déjà déclarées comme directes.</w:t>
      </w:r>
    </w:p>
    <w:p w14:paraId="66E7A7FF" w14:textId="77777777" w:rsidR="00DB6F0C" w:rsidRPr="00642D53" w:rsidRDefault="00DB6F0C" w:rsidP="00DB6F0C">
      <w:pPr>
        <w:spacing w:before="120" w:after="120"/>
        <w:jc w:val="both"/>
        <w:rPr>
          <w:color w:val="000000"/>
          <w:szCs w:val="24"/>
        </w:rPr>
      </w:pPr>
      <w:r>
        <w:rPr>
          <w:color w:val="000000"/>
        </w:rPr>
        <w:t>Les contributions en nature ne sont pas incluses dans le rapport financier, sauf disposition contraire des conditions contractuelles.</w:t>
      </w:r>
    </w:p>
    <w:p w14:paraId="6024DAF2" w14:textId="77777777" w:rsidR="00DB6F0C" w:rsidRPr="00642D53" w:rsidRDefault="00DB6F0C" w:rsidP="00DB6F0C">
      <w:pPr>
        <w:spacing w:before="120" w:after="120"/>
        <w:jc w:val="both"/>
        <w:rPr>
          <w:color w:val="000000"/>
          <w:szCs w:val="24"/>
        </w:rPr>
      </w:pPr>
      <w:r>
        <w:rPr>
          <w:color w:val="000000"/>
        </w:rPr>
        <w:t>Les dépenses spécifiquement considérées comme inéligibles par les conditions contractuelles ne sont pas incluses dans le rapport financier.</w:t>
      </w:r>
    </w:p>
    <w:p w14:paraId="00F052AE" w14:textId="77777777" w:rsidR="00DB6F0C" w:rsidRPr="00642D53" w:rsidRDefault="00730B2C" w:rsidP="00DB6F0C">
      <w:pPr>
        <w:spacing w:before="120" w:after="120"/>
        <w:jc w:val="both"/>
        <w:rPr>
          <w:color w:val="000000"/>
          <w:szCs w:val="24"/>
        </w:rPr>
      </w:pPr>
      <w:r>
        <w:rPr>
          <w:color w:val="000000"/>
        </w:rPr>
        <w:t>Les dépenses déclarées dans le cadre des options de coûts simplifiés respectent les exigences contractuelles.</w:t>
      </w:r>
    </w:p>
    <w:p w14:paraId="1EA08BBE" w14:textId="2CDD2B83" w:rsidR="00986AAC" w:rsidRPr="00642D53" w:rsidRDefault="00DB6F0C" w:rsidP="00DB6F0C">
      <w:pPr>
        <w:spacing w:before="120" w:after="120"/>
        <w:jc w:val="both"/>
        <w:rPr>
          <w:color w:val="000000"/>
          <w:szCs w:val="24"/>
        </w:rPr>
      </w:pPr>
      <w:r>
        <w:rPr>
          <w:color w:val="000000"/>
        </w:rPr>
        <w:t xml:space="preserve">Les recettes générées par l’entité déclarante dans le cadre de l’exécution du contrat sont </w:t>
      </w:r>
      <w:r w:rsidR="00422872">
        <w:rPr>
          <w:color w:val="000000"/>
        </w:rPr>
        <w:t>déclarées</w:t>
      </w:r>
      <w:r>
        <w:rPr>
          <w:color w:val="000000"/>
        </w:rPr>
        <w:t xml:space="preserve"> dans le rapport financier et sont déduites des dépenses déclarées, sauf disposition contraire des conditions contractuelles.</w:t>
      </w:r>
    </w:p>
    <w:p w14:paraId="60D7A0A4" w14:textId="18D0783D" w:rsidR="00F82148" w:rsidRDefault="002D6B05" w:rsidP="00693C22">
      <w:pPr>
        <w:jc w:val="both"/>
        <w:rPr>
          <w:szCs w:val="22"/>
        </w:rPr>
      </w:pPr>
      <w:r>
        <w:rPr>
          <w:highlight w:val="yellow"/>
        </w:rPr>
        <w:t>[</w:t>
      </w:r>
      <w:r w:rsidR="00F82148">
        <w:rPr>
          <w:highlight w:val="yellow"/>
        </w:rPr>
        <w:t>Si des contrôles supplémentaires sont nécessaires, notamment dans le cas où des objectifs spécifiques sont définis à l’article 2 des termes de référence, ajouter ce qui suit:</w:t>
      </w:r>
    </w:p>
    <w:p w14:paraId="01EEB11D" w14:textId="0CABBFAE" w:rsidR="00F82148" w:rsidRPr="00615B57" w:rsidRDefault="00F82148" w:rsidP="00F82148">
      <w:pPr>
        <w:pStyle w:val="Heading2"/>
        <w:numPr>
          <w:ilvl w:val="0"/>
          <w:numId w:val="0"/>
        </w:numPr>
      </w:pPr>
      <w:bookmarkStart w:id="25" w:name="_Toc520275854"/>
      <w:r>
        <w:rPr>
          <w:highlight w:val="darkGray"/>
        </w:rPr>
        <w:lastRenderedPageBreak/>
        <w:t>2.11</w:t>
      </w:r>
      <w:r>
        <w:tab/>
      </w:r>
      <w:r>
        <w:rPr>
          <w:highlight w:val="darkGray"/>
        </w:rPr>
        <w:t>Contrôles supplémentaires non inclus dans la procédure de vérification standard</w:t>
      </w:r>
      <w:bookmarkEnd w:id="25"/>
    </w:p>
    <w:p w14:paraId="3F141ECF" w14:textId="0EC72BDE" w:rsidR="00F82148" w:rsidRDefault="00F82148" w:rsidP="00D46DA5">
      <w:pPr>
        <w:rPr>
          <w:szCs w:val="22"/>
        </w:rPr>
      </w:pPr>
      <w:r>
        <w:t>&lt;</w:t>
      </w:r>
      <w:r>
        <w:rPr>
          <w:highlight w:val="yellow"/>
        </w:rPr>
        <w:t>Décrire l</w:t>
      </w:r>
      <w:r w:rsidR="002D6B05">
        <w:rPr>
          <w:highlight w:val="yellow"/>
        </w:rPr>
        <w:t>es</w:t>
      </w:r>
      <w:r>
        <w:rPr>
          <w:highlight w:val="yellow"/>
        </w:rPr>
        <w:t xml:space="preserve"> </w:t>
      </w:r>
      <w:r w:rsidR="002D6B05">
        <w:rPr>
          <w:highlight w:val="yellow"/>
        </w:rPr>
        <w:t>contrôles</w:t>
      </w:r>
      <w:r>
        <w:rPr>
          <w:highlight w:val="yellow"/>
        </w:rPr>
        <w:t xml:space="preserve"> </w:t>
      </w:r>
      <w:r w:rsidR="00D21648">
        <w:rPr>
          <w:highlight w:val="yellow"/>
        </w:rPr>
        <w:t>supplémentaires</w:t>
      </w:r>
      <w:r>
        <w:t>&gt;</w:t>
      </w:r>
      <w:r w:rsidR="002D6B05">
        <w:t>]</w:t>
      </w:r>
    </w:p>
    <w:p w14:paraId="2341E79F" w14:textId="77777777" w:rsidR="00865845" w:rsidRPr="0035038F" w:rsidRDefault="00865845" w:rsidP="00D46DA5"/>
    <w:sectPr w:rsidR="00865845" w:rsidRPr="0035038F" w:rsidSect="00C91CE1">
      <w:headerReference w:type="default" r:id="rId9"/>
      <w:footerReference w:type="default" r:id="rId10"/>
      <w:headerReference w:type="first" r:id="rId11"/>
      <w:pgSz w:w="11906" w:h="16838" w:code="9"/>
      <w:pgMar w:top="851"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ED37" w14:textId="77777777" w:rsidR="00B10652" w:rsidRDefault="00B10652">
      <w:r>
        <w:separator/>
      </w:r>
    </w:p>
  </w:endnote>
  <w:endnote w:type="continuationSeparator" w:id="0">
    <w:p w14:paraId="3C705458" w14:textId="77777777" w:rsidR="00B10652" w:rsidRDefault="00B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D42B" w14:textId="77777777" w:rsidR="00B233CD" w:rsidRPr="007958B3" w:rsidRDefault="00B233CD" w:rsidP="004344C4">
    <w:pPr>
      <w:pStyle w:val="Footer"/>
      <w:framePr w:wrap="around" w:vAnchor="text" w:hAnchor="margin" w:xAlign="center" w:y="1"/>
      <w:rPr>
        <w:rStyle w:val="PageNumber"/>
        <w:sz w:val="22"/>
        <w:szCs w:val="22"/>
      </w:rPr>
    </w:pPr>
  </w:p>
  <w:p w14:paraId="45E6A0B5" w14:textId="66BA2E58" w:rsidR="00693C22" w:rsidRDefault="004344C4" w:rsidP="006D1E92">
    <w:pPr>
      <w:pStyle w:val="Header"/>
      <w:spacing w:after="120"/>
      <w:rPr>
        <w:rFonts w:ascii="Arial" w:hAnsi="Arial"/>
        <w:i/>
        <w:sz w:val="16"/>
      </w:rPr>
    </w:pPr>
    <w:r>
      <w:rPr>
        <w:rFonts w:ascii="Arial" w:hAnsi="Arial"/>
        <w:i/>
        <w:sz w:val="16"/>
      </w:rPr>
      <w:t xml:space="preserve">Version </w:t>
    </w:r>
    <w:r w:rsidR="006A1823">
      <w:rPr>
        <w:rFonts w:ascii="Arial" w:hAnsi="Arial"/>
        <w:i/>
        <w:sz w:val="16"/>
      </w:rPr>
      <w:t>01</w:t>
    </w:r>
    <w:r w:rsidR="00F7717E">
      <w:rPr>
        <w:rFonts w:ascii="Arial" w:hAnsi="Arial"/>
        <w:i/>
        <w:sz w:val="16"/>
      </w:rPr>
      <w:t>-0</w:t>
    </w:r>
    <w:r w:rsidR="006A1823">
      <w:rPr>
        <w:rFonts w:ascii="Arial" w:hAnsi="Arial"/>
        <w:i/>
        <w:sz w:val="16"/>
      </w:rPr>
      <w:t>8</w:t>
    </w:r>
    <w:r w:rsidR="00F7717E">
      <w:rPr>
        <w:rFonts w:ascii="Arial" w:hAnsi="Arial"/>
        <w:i/>
        <w:sz w:val="16"/>
      </w:rPr>
      <w:t>-</w:t>
    </w:r>
    <w:r>
      <w:rPr>
        <w:rFonts w:ascii="Arial" w:hAnsi="Arial"/>
        <w:i/>
        <w:sz w:val="16"/>
      </w:rPr>
      <w:t xml:space="preserve">2018  </w:t>
    </w:r>
    <w:r w:rsidR="00693C22">
      <w:rPr>
        <w:rFonts w:ascii="Arial" w:hAnsi="Arial"/>
        <w:i/>
        <w:sz w:val="16"/>
      </w:rPr>
      <w:tab/>
    </w:r>
    <w:r w:rsidR="00693C22">
      <w:rPr>
        <w:rFonts w:ascii="Arial" w:hAnsi="Arial"/>
        <w:i/>
        <w:sz w:val="16"/>
      </w:rPr>
      <w:tab/>
      <w:t xml:space="preserve">Page </w:t>
    </w:r>
    <w:r w:rsidR="00693C22" w:rsidRPr="004344C4">
      <w:rPr>
        <w:rFonts w:ascii="Arial" w:hAnsi="Arial" w:cs="Arial"/>
        <w:i/>
        <w:sz w:val="16"/>
        <w:szCs w:val="16"/>
      </w:rPr>
      <w:fldChar w:fldCharType="begin"/>
    </w:r>
    <w:r w:rsidR="00693C22" w:rsidRPr="004344C4">
      <w:rPr>
        <w:rFonts w:ascii="Arial" w:hAnsi="Arial" w:cs="Arial"/>
        <w:i/>
        <w:sz w:val="16"/>
        <w:szCs w:val="16"/>
      </w:rPr>
      <w:instrText xml:space="preserve"> PAGE  \* Arabic  \* MERGEFORMAT </w:instrText>
    </w:r>
    <w:r w:rsidR="00693C22" w:rsidRPr="004344C4">
      <w:rPr>
        <w:rFonts w:ascii="Arial" w:hAnsi="Arial" w:cs="Arial"/>
        <w:i/>
        <w:sz w:val="16"/>
        <w:szCs w:val="16"/>
      </w:rPr>
      <w:fldChar w:fldCharType="separate"/>
    </w:r>
    <w:r w:rsidR="00C847C0">
      <w:rPr>
        <w:rFonts w:ascii="Arial" w:hAnsi="Arial" w:cs="Arial"/>
        <w:i/>
        <w:noProof/>
        <w:sz w:val="16"/>
        <w:szCs w:val="16"/>
      </w:rPr>
      <w:t>1</w:t>
    </w:r>
    <w:r w:rsidR="00693C22" w:rsidRPr="004344C4">
      <w:rPr>
        <w:rFonts w:ascii="Arial" w:hAnsi="Arial" w:cs="Arial"/>
        <w:i/>
        <w:sz w:val="16"/>
        <w:szCs w:val="16"/>
      </w:rPr>
      <w:fldChar w:fldCharType="end"/>
    </w:r>
    <w:r w:rsidR="00693C22">
      <w:rPr>
        <w:rFonts w:ascii="Arial" w:hAnsi="Arial"/>
        <w:i/>
        <w:sz w:val="16"/>
      </w:rPr>
      <w:t>/</w:t>
    </w:r>
    <w:r w:rsidR="00693C22" w:rsidRPr="004344C4">
      <w:rPr>
        <w:rFonts w:ascii="Arial" w:hAnsi="Arial" w:cs="Arial"/>
        <w:i/>
        <w:sz w:val="16"/>
        <w:szCs w:val="16"/>
      </w:rPr>
      <w:fldChar w:fldCharType="begin"/>
    </w:r>
    <w:r w:rsidR="00693C22" w:rsidRPr="004344C4">
      <w:rPr>
        <w:rFonts w:ascii="Arial" w:hAnsi="Arial" w:cs="Arial"/>
        <w:i/>
        <w:sz w:val="16"/>
        <w:szCs w:val="16"/>
      </w:rPr>
      <w:instrText xml:space="preserve"> NUMPAGES  \# "0"  \* MERGEFORMAT </w:instrText>
    </w:r>
    <w:r w:rsidR="00693C22" w:rsidRPr="004344C4">
      <w:rPr>
        <w:rFonts w:ascii="Arial" w:hAnsi="Arial" w:cs="Arial"/>
        <w:i/>
        <w:sz w:val="16"/>
        <w:szCs w:val="16"/>
      </w:rPr>
      <w:fldChar w:fldCharType="separate"/>
    </w:r>
    <w:r w:rsidR="00C847C0">
      <w:rPr>
        <w:rFonts w:ascii="Arial" w:hAnsi="Arial" w:cs="Arial"/>
        <w:i/>
        <w:noProof/>
        <w:sz w:val="16"/>
        <w:szCs w:val="16"/>
      </w:rPr>
      <w:t>5</w:t>
    </w:r>
    <w:r w:rsidR="00693C22" w:rsidRPr="004344C4">
      <w:rPr>
        <w:rFonts w:ascii="Arial" w:hAnsi="Arial" w:cs="Arial"/>
        <w:i/>
        <w:sz w:val="16"/>
        <w:szCs w:val="16"/>
      </w:rPr>
      <w:fldChar w:fldCharType="end"/>
    </w:r>
  </w:p>
  <w:p w14:paraId="14CE6A52" w14:textId="77777777" w:rsidR="00B233CD" w:rsidRPr="00CB566F" w:rsidRDefault="00B233CD">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7BC1" w14:textId="77777777" w:rsidR="00B10652" w:rsidRDefault="00B10652">
      <w:r>
        <w:separator/>
      </w:r>
    </w:p>
  </w:footnote>
  <w:footnote w:type="continuationSeparator" w:id="0">
    <w:p w14:paraId="2CD9A97E" w14:textId="77777777" w:rsidR="00B10652" w:rsidRDefault="00B1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D618" w14:textId="77777777" w:rsidR="00F7717E" w:rsidRPr="00F7717E" w:rsidRDefault="00693C22" w:rsidP="00F7717E">
    <w:pPr>
      <w:pStyle w:val="Header"/>
      <w:ind w:left="-1247"/>
      <w:jc w:val="right"/>
      <w:rPr>
        <w:rFonts w:ascii="Arial" w:hAnsi="Arial"/>
        <w:i/>
        <w:sz w:val="16"/>
        <w:lang w:val="fr-BE"/>
      </w:rPr>
    </w:pPr>
    <w:r w:rsidRPr="00F7717E">
      <w:rPr>
        <w:rFonts w:ascii="Arial" w:hAnsi="Arial"/>
        <w:i/>
        <w:sz w:val="16"/>
        <w:lang w:val="fr-BE"/>
      </w:rPr>
      <w:t>TdR pour une vérification des dépenses</w:t>
    </w:r>
  </w:p>
  <w:p w14:paraId="3BD15918" w14:textId="6EF7DD56" w:rsidR="00693C22" w:rsidRPr="00693C22" w:rsidRDefault="00693C22" w:rsidP="00F7717E">
    <w:pPr>
      <w:pStyle w:val="Header"/>
      <w:ind w:left="-1247"/>
      <w:jc w:val="right"/>
      <w:rPr>
        <w:rFonts w:ascii="Arial" w:hAnsi="Arial"/>
        <w:i/>
        <w:sz w:val="16"/>
      </w:rPr>
    </w:pPr>
    <w:r>
      <w:rPr>
        <w:rFonts w:ascii="Arial" w:hAnsi="Arial"/>
        <w:i/>
        <w:sz w:val="16"/>
      </w:rPr>
      <w:t xml:space="preserve">Annexe 2 – Lignes directrices relatives à l’analyse des risques et aux procédures de vérification </w:t>
    </w:r>
  </w:p>
  <w:p w14:paraId="280EA2C7" w14:textId="77777777" w:rsidR="00145C0A" w:rsidRDefault="00145C0A" w:rsidP="00B610DD">
    <w:pPr>
      <w:pStyle w:val="Header"/>
      <w:jc w:val="right"/>
      <w:rPr>
        <w:rFonts w:ascii="Arial" w:hAnsi="Arial" w:cs="Arial"/>
        <w:i/>
        <w:sz w:val="16"/>
        <w:szCs w:val="16"/>
      </w:rPr>
    </w:pPr>
  </w:p>
  <w:p w14:paraId="548783CF" w14:textId="77777777" w:rsidR="00145C0A" w:rsidRDefault="00145C0A" w:rsidP="00B610DD">
    <w:pPr>
      <w:pStyle w:val="Header"/>
      <w:jc w:val="right"/>
      <w:rPr>
        <w:rFonts w:ascii="Arial" w:hAnsi="Arial" w:cs="Arial"/>
        <w:i/>
        <w:sz w:val="16"/>
        <w:szCs w:val="16"/>
      </w:rPr>
    </w:pPr>
  </w:p>
  <w:p w14:paraId="6DD87C08" w14:textId="77777777" w:rsidR="00145C0A" w:rsidRPr="00B610DD" w:rsidRDefault="00145C0A" w:rsidP="004344C4">
    <w:pPr>
      <w:pStyle w:val="Head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A0B7" w14:textId="77777777" w:rsidR="00442FA6" w:rsidRPr="00442FA6" w:rsidRDefault="00442FA6" w:rsidP="00442FA6">
    <w:pPr>
      <w:pStyle w:val="Header"/>
      <w:jc w:val="right"/>
      <w:rPr>
        <w:rFonts w:ascii="Arial" w:hAnsi="Arial" w:cs="Arial"/>
        <w:i/>
        <w:sz w:val="16"/>
        <w:szCs w:val="16"/>
      </w:rPr>
    </w:pPr>
    <w:r>
      <w:rPr>
        <w:rFonts w:ascii="Arial" w:hAnsi="Arial"/>
        <w:i/>
        <w:sz w:val="16"/>
      </w:rPr>
      <w:t>Termes de référence pour une vérification des dépenses</w:t>
    </w:r>
  </w:p>
  <w:p w14:paraId="63E99154" w14:textId="77777777" w:rsidR="00B233CD" w:rsidRDefault="00B2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A843A8"/>
    <w:multiLevelType w:val="hybridMultilevel"/>
    <w:tmpl w:val="82A09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02331"/>
    <w:multiLevelType w:val="hybridMultilevel"/>
    <w:tmpl w:val="0688D596"/>
    <w:lvl w:ilvl="0" w:tplc="7CEAA44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87F"/>
    <w:multiLevelType w:val="hybridMultilevel"/>
    <w:tmpl w:val="31B2C422"/>
    <w:lvl w:ilvl="0" w:tplc="8678529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612D7"/>
    <w:multiLevelType w:val="hybridMultilevel"/>
    <w:tmpl w:val="228CCFFC"/>
    <w:lvl w:ilvl="0" w:tplc="19BECCAA">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B486E"/>
    <w:multiLevelType w:val="hybridMultilevel"/>
    <w:tmpl w:val="F45CF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34306"/>
    <w:multiLevelType w:val="multilevel"/>
    <w:tmpl w:val="F014B5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C68A4"/>
    <w:multiLevelType w:val="hybridMultilevel"/>
    <w:tmpl w:val="45D2D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01CC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91958"/>
    <w:multiLevelType w:val="hybridMultilevel"/>
    <w:tmpl w:val="DDF6A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7451E"/>
    <w:multiLevelType w:val="hybridMultilevel"/>
    <w:tmpl w:val="A53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70308"/>
    <w:multiLevelType w:val="hybridMultilevel"/>
    <w:tmpl w:val="F49E066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03303"/>
    <w:multiLevelType w:val="hybridMultilevel"/>
    <w:tmpl w:val="5C5CB054"/>
    <w:lvl w:ilvl="0" w:tplc="90DA61E0">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72F72"/>
    <w:multiLevelType w:val="hybridMultilevel"/>
    <w:tmpl w:val="506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278E3"/>
    <w:multiLevelType w:val="hybridMultilevel"/>
    <w:tmpl w:val="D2D0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905A3"/>
    <w:multiLevelType w:val="hybridMultilevel"/>
    <w:tmpl w:val="DC4041D8"/>
    <w:lvl w:ilvl="0" w:tplc="E5884F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6D6465"/>
    <w:multiLevelType w:val="hybridMultilevel"/>
    <w:tmpl w:val="6A50E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073F8"/>
    <w:multiLevelType w:val="hybridMultilevel"/>
    <w:tmpl w:val="9B5E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A3826"/>
    <w:multiLevelType w:val="hybridMultilevel"/>
    <w:tmpl w:val="B3E88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32656"/>
    <w:multiLevelType w:val="multilevel"/>
    <w:tmpl w:val="1FD0B116"/>
    <w:lvl w:ilvl="0">
      <w:start w:val="1"/>
      <w:numFmt w:val="decimal"/>
      <w:lvlText w:val="%1."/>
      <w:lvlJc w:val="left"/>
      <w:pPr>
        <w:tabs>
          <w:tab w:val="num" w:pos="480"/>
        </w:tabs>
        <w:ind w:left="480" w:hanging="480"/>
      </w:pPr>
    </w:lvl>
    <w:lvl w:ilvl="1">
      <w:start w:val="1"/>
      <w:numFmt w:val="decimal"/>
      <w:lvlText w:val="%1.%2."/>
      <w:lvlJc w:val="left"/>
      <w:pPr>
        <w:tabs>
          <w:tab w:val="num" w:pos="1222"/>
        </w:tabs>
        <w:ind w:left="1843" w:hanging="1701"/>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55617BF"/>
    <w:multiLevelType w:val="hybridMultilevel"/>
    <w:tmpl w:val="A8D0CF6C"/>
    <w:lvl w:ilvl="0" w:tplc="9E9AE682">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BB2109"/>
    <w:multiLevelType w:val="hybridMultilevel"/>
    <w:tmpl w:val="2E082F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B7912"/>
    <w:multiLevelType w:val="hybridMultilevel"/>
    <w:tmpl w:val="FB5A6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F5D71"/>
    <w:multiLevelType w:val="hybridMultilevel"/>
    <w:tmpl w:val="F9804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BA345EF"/>
    <w:multiLevelType w:val="hybridMultilevel"/>
    <w:tmpl w:val="90B85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16B7D"/>
    <w:multiLevelType w:val="hybridMultilevel"/>
    <w:tmpl w:val="E888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DA22002"/>
    <w:multiLevelType w:val="hybridMultilevel"/>
    <w:tmpl w:val="4F76C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F5508"/>
    <w:multiLevelType w:val="hybridMultilevel"/>
    <w:tmpl w:val="C4F45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E77F8"/>
    <w:multiLevelType w:val="hybridMultilevel"/>
    <w:tmpl w:val="100E3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0"/>
  </w:num>
  <w:num w:numId="5">
    <w:abstractNumId w:val="4"/>
  </w:num>
  <w:num w:numId="6">
    <w:abstractNumId w:val="29"/>
  </w:num>
  <w:num w:numId="7">
    <w:abstractNumId w:val="13"/>
  </w:num>
  <w:num w:numId="8">
    <w:abstractNumId w:val="16"/>
  </w:num>
  <w:num w:numId="9">
    <w:abstractNumId w:val="1"/>
  </w:num>
  <w:num w:numId="10">
    <w:abstractNumId w:val="11"/>
  </w:num>
  <w:num w:numId="11">
    <w:abstractNumId w:val="39"/>
  </w:num>
  <w:num w:numId="12">
    <w:abstractNumId w:val="20"/>
  </w:num>
  <w:num w:numId="13">
    <w:abstractNumId w:val="32"/>
  </w:num>
  <w:num w:numId="14">
    <w:abstractNumId w:val="2"/>
  </w:num>
  <w:num w:numId="15">
    <w:abstractNumId w:val="3"/>
  </w:num>
  <w:num w:numId="16">
    <w:abstractNumId w:val="40"/>
  </w:num>
  <w:num w:numId="17">
    <w:abstractNumId w:val="28"/>
  </w:num>
  <w:num w:numId="18">
    <w:abstractNumId w:val="5"/>
  </w:num>
  <w:num w:numId="19">
    <w:abstractNumId w:val="25"/>
  </w:num>
  <w:num w:numId="20">
    <w:abstractNumId w:val="17"/>
  </w:num>
  <w:num w:numId="21">
    <w:abstractNumId w:val="7"/>
  </w:num>
  <w:num w:numId="22">
    <w:abstractNumId w:val="37"/>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8"/>
  </w:num>
  <w:num w:numId="28">
    <w:abstractNumId w:val="36"/>
  </w:num>
  <w:num w:numId="29">
    <w:abstractNumId w:val="14"/>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3"/>
  </w:num>
  <w:num w:numId="39">
    <w:abstractNumId w:val="6"/>
  </w:num>
  <w:num w:numId="40">
    <w:abstractNumId w:val="9"/>
  </w:num>
  <w:num w:numId="41">
    <w:abstractNumId w:val="9"/>
  </w:num>
  <w:num w:numId="42">
    <w:abstractNumId w:val="9"/>
  </w:num>
  <w:num w:numId="43">
    <w:abstractNumId w:val="18"/>
  </w:num>
  <w:num w:numId="44">
    <w:abstractNumId w:val="35"/>
  </w:num>
  <w:num w:numId="45">
    <w:abstractNumId w:val="31"/>
  </w:num>
  <w:num w:numId="46">
    <w:abstractNumId w:val="24"/>
  </w:num>
  <w:num w:numId="47">
    <w:abstractNumId w:val="15"/>
  </w:num>
  <w:num w:numId="48">
    <w:abstractNumId w:val="27"/>
  </w:num>
  <w:num w:numId="49">
    <w:abstractNumId w:val="21"/>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8CD"/>
    <w:rsid w:val="00003EF7"/>
    <w:rsid w:val="00004F9A"/>
    <w:rsid w:val="000102FE"/>
    <w:rsid w:val="00011814"/>
    <w:rsid w:val="00012378"/>
    <w:rsid w:val="000125D0"/>
    <w:rsid w:val="00012837"/>
    <w:rsid w:val="00017985"/>
    <w:rsid w:val="00020BDE"/>
    <w:rsid w:val="000212A9"/>
    <w:rsid w:val="0002183C"/>
    <w:rsid w:val="000301E2"/>
    <w:rsid w:val="00030C5F"/>
    <w:rsid w:val="000323E7"/>
    <w:rsid w:val="00033574"/>
    <w:rsid w:val="0003416C"/>
    <w:rsid w:val="000359A4"/>
    <w:rsid w:val="00035BC3"/>
    <w:rsid w:val="00036430"/>
    <w:rsid w:val="0004104A"/>
    <w:rsid w:val="00041B1A"/>
    <w:rsid w:val="00042622"/>
    <w:rsid w:val="00043927"/>
    <w:rsid w:val="00043AA1"/>
    <w:rsid w:val="00044490"/>
    <w:rsid w:val="00045DE3"/>
    <w:rsid w:val="000508D9"/>
    <w:rsid w:val="000527BE"/>
    <w:rsid w:val="0005317D"/>
    <w:rsid w:val="0005481B"/>
    <w:rsid w:val="00056FE8"/>
    <w:rsid w:val="00057053"/>
    <w:rsid w:val="00060F9A"/>
    <w:rsid w:val="000621E7"/>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57D5"/>
    <w:rsid w:val="000861DF"/>
    <w:rsid w:val="00087C96"/>
    <w:rsid w:val="00090618"/>
    <w:rsid w:val="00090BCC"/>
    <w:rsid w:val="00091781"/>
    <w:rsid w:val="00091E66"/>
    <w:rsid w:val="00092521"/>
    <w:rsid w:val="00092A1E"/>
    <w:rsid w:val="00092F5A"/>
    <w:rsid w:val="00093E16"/>
    <w:rsid w:val="000946E9"/>
    <w:rsid w:val="00094B98"/>
    <w:rsid w:val="00095049"/>
    <w:rsid w:val="00096B93"/>
    <w:rsid w:val="000978B2"/>
    <w:rsid w:val="0009795E"/>
    <w:rsid w:val="00097989"/>
    <w:rsid w:val="000A2583"/>
    <w:rsid w:val="000A39DD"/>
    <w:rsid w:val="000A536D"/>
    <w:rsid w:val="000A6604"/>
    <w:rsid w:val="000A68F8"/>
    <w:rsid w:val="000B1C35"/>
    <w:rsid w:val="000B2502"/>
    <w:rsid w:val="000B4236"/>
    <w:rsid w:val="000B455B"/>
    <w:rsid w:val="000B4C57"/>
    <w:rsid w:val="000B579A"/>
    <w:rsid w:val="000B5B79"/>
    <w:rsid w:val="000B6B96"/>
    <w:rsid w:val="000C0B8C"/>
    <w:rsid w:val="000C0F1B"/>
    <w:rsid w:val="000C16A9"/>
    <w:rsid w:val="000C554D"/>
    <w:rsid w:val="000C65FA"/>
    <w:rsid w:val="000C6E21"/>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4BAF"/>
    <w:rsid w:val="0010640C"/>
    <w:rsid w:val="0011049B"/>
    <w:rsid w:val="001138A2"/>
    <w:rsid w:val="00114342"/>
    <w:rsid w:val="001145AA"/>
    <w:rsid w:val="00115FC9"/>
    <w:rsid w:val="00116ACF"/>
    <w:rsid w:val="001171FB"/>
    <w:rsid w:val="001173B9"/>
    <w:rsid w:val="00120F9F"/>
    <w:rsid w:val="00121B4F"/>
    <w:rsid w:val="0013174D"/>
    <w:rsid w:val="00131802"/>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650"/>
    <w:rsid w:val="00157E6C"/>
    <w:rsid w:val="001614F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1A77"/>
    <w:rsid w:val="0018520E"/>
    <w:rsid w:val="001859DF"/>
    <w:rsid w:val="00186C86"/>
    <w:rsid w:val="001872A8"/>
    <w:rsid w:val="001908AF"/>
    <w:rsid w:val="00190C36"/>
    <w:rsid w:val="001923C1"/>
    <w:rsid w:val="00192637"/>
    <w:rsid w:val="00192FC0"/>
    <w:rsid w:val="00194FCB"/>
    <w:rsid w:val="00195118"/>
    <w:rsid w:val="00195457"/>
    <w:rsid w:val="00196261"/>
    <w:rsid w:val="001967ED"/>
    <w:rsid w:val="001A0CBC"/>
    <w:rsid w:val="001A0F81"/>
    <w:rsid w:val="001A28D7"/>
    <w:rsid w:val="001A30D5"/>
    <w:rsid w:val="001A42B9"/>
    <w:rsid w:val="001A435A"/>
    <w:rsid w:val="001A51D2"/>
    <w:rsid w:val="001A5B02"/>
    <w:rsid w:val="001A7047"/>
    <w:rsid w:val="001A715E"/>
    <w:rsid w:val="001B1442"/>
    <w:rsid w:val="001B2596"/>
    <w:rsid w:val="001B2A5B"/>
    <w:rsid w:val="001B547C"/>
    <w:rsid w:val="001B66CF"/>
    <w:rsid w:val="001B73D4"/>
    <w:rsid w:val="001B7759"/>
    <w:rsid w:val="001B7783"/>
    <w:rsid w:val="001B7E13"/>
    <w:rsid w:val="001C076D"/>
    <w:rsid w:val="001C0797"/>
    <w:rsid w:val="001C1B51"/>
    <w:rsid w:val="001C3A77"/>
    <w:rsid w:val="001C3B78"/>
    <w:rsid w:val="001C4804"/>
    <w:rsid w:val="001C59CB"/>
    <w:rsid w:val="001D0EE2"/>
    <w:rsid w:val="001D11C6"/>
    <w:rsid w:val="001D1263"/>
    <w:rsid w:val="001D3538"/>
    <w:rsid w:val="001D606E"/>
    <w:rsid w:val="001D763B"/>
    <w:rsid w:val="001D7679"/>
    <w:rsid w:val="001E0A7B"/>
    <w:rsid w:val="001E0F18"/>
    <w:rsid w:val="001E0F45"/>
    <w:rsid w:val="001E115E"/>
    <w:rsid w:val="001E3CF3"/>
    <w:rsid w:val="001E4C75"/>
    <w:rsid w:val="001E55D5"/>
    <w:rsid w:val="001E6E7A"/>
    <w:rsid w:val="001E6F0C"/>
    <w:rsid w:val="001E7598"/>
    <w:rsid w:val="001F01D9"/>
    <w:rsid w:val="001F10F3"/>
    <w:rsid w:val="001F338E"/>
    <w:rsid w:val="001F4712"/>
    <w:rsid w:val="001F492D"/>
    <w:rsid w:val="002007B8"/>
    <w:rsid w:val="00202739"/>
    <w:rsid w:val="0020287E"/>
    <w:rsid w:val="00202CCA"/>
    <w:rsid w:val="00202DDD"/>
    <w:rsid w:val="00203826"/>
    <w:rsid w:val="00204AD9"/>
    <w:rsid w:val="00204FA8"/>
    <w:rsid w:val="002052C9"/>
    <w:rsid w:val="00205906"/>
    <w:rsid w:val="00206ABB"/>
    <w:rsid w:val="00206C05"/>
    <w:rsid w:val="0021071D"/>
    <w:rsid w:val="002132AA"/>
    <w:rsid w:val="00213DF6"/>
    <w:rsid w:val="002150FF"/>
    <w:rsid w:val="00216165"/>
    <w:rsid w:val="00217B54"/>
    <w:rsid w:val="00217E7A"/>
    <w:rsid w:val="00220010"/>
    <w:rsid w:val="002207A6"/>
    <w:rsid w:val="00220A2D"/>
    <w:rsid w:val="002221D6"/>
    <w:rsid w:val="00222D21"/>
    <w:rsid w:val="00223D31"/>
    <w:rsid w:val="002257DA"/>
    <w:rsid w:val="0022711E"/>
    <w:rsid w:val="00232140"/>
    <w:rsid w:val="00232E0B"/>
    <w:rsid w:val="00234B2E"/>
    <w:rsid w:val="00235B5B"/>
    <w:rsid w:val="00236050"/>
    <w:rsid w:val="00236143"/>
    <w:rsid w:val="0023664B"/>
    <w:rsid w:val="002400DB"/>
    <w:rsid w:val="002408B4"/>
    <w:rsid w:val="00240E27"/>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C52"/>
    <w:rsid w:val="00266F98"/>
    <w:rsid w:val="002671E2"/>
    <w:rsid w:val="00267FF8"/>
    <w:rsid w:val="002719D6"/>
    <w:rsid w:val="00271BC6"/>
    <w:rsid w:val="00273128"/>
    <w:rsid w:val="00273598"/>
    <w:rsid w:val="00275158"/>
    <w:rsid w:val="002761EB"/>
    <w:rsid w:val="00276998"/>
    <w:rsid w:val="002827B8"/>
    <w:rsid w:val="00282845"/>
    <w:rsid w:val="00284342"/>
    <w:rsid w:val="0028574C"/>
    <w:rsid w:val="00285E32"/>
    <w:rsid w:val="00286E48"/>
    <w:rsid w:val="00287BF6"/>
    <w:rsid w:val="00290740"/>
    <w:rsid w:val="00291122"/>
    <w:rsid w:val="002918F5"/>
    <w:rsid w:val="00291C94"/>
    <w:rsid w:val="00291FC6"/>
    <w:rsid w:val="00292544"/>
    <w:rsid w:val="00293066"/>
    <w:rsid w:val="0029340B"/>
    <w:rsid w:val="00293FEF"/>
    <w:rsid w:val="00294E83"/>
    <w:rsid w:val="00295062"/>
    <w:rsid w:val="00295B18"/>
    <w:rsid w:val="0029697E"/>
    <w:rsid w:val="0029721C"/>
    <w:rsid w:val="002A02A8"/>
    <w:rsid w:val="002A0C43"/>
    <w:rsid w:val="002A1A32"/>
    <w:rsid w:val="002A320F"/>
    <w:rsid w:val="002A435B"/>
    <w:rsid w:val="002A546A"/>
    <w:rsid w:val="002A5F6F"/>
    <w:rsid w:val="002A61C0"/>
    <w:rsid w:val="002A781B"/>
    <w:rsid w:val="002A7A39"/>
    <w:rsid w:val="002A7E53"/>
    <w:rsid w:val="002B0170"/>
    <w:rsid w:val="002B0254"/>
    <w:rsid w:val="002B1321"/>
    <w:rsid w:val="002B1B0A"/>
    <w:rsid w:val="002B1C7C"/>
    <w:rsid w:val="002B5A29"/>
    <w:rsid w:val="002B72E4"/>
    <w:rsid w:val="002B7C45"/>
    <w:rsid w:val="002C04D7"/>
    <w:rsid w:val="002C0EA3"/>
    <w:rsid w:val="002C1319"/>
    <w:rsid w:val="002C2AA6"/>
    <w:rsid w:val="002C2CCC"/>
    <w:rsid w:val="002C3301"/>
    <w:rsid w:val="002C4454"/>
    <w:rsid w:val="002C56D5"/>
    <w:rsid w:val="002C6484"/>
    <w:rsid w:val="002C7108"/>
    <w:rsid w:val="002C7BFA"/>
    <w:rsid w:val="002C7FD6"/>
    <w:rsid w:val="002D141D"/>
    <w:rsid w:val="002D167F"/>
    <w:rsid w:val="002D1F9C"/>
    <w:rsid w:val="002D3452"/>
    <w:rsid w:val="002D35D3"/>
    <w:rsid w:val="002D36B5"/>
    <w:rsid w:val="002D3F87"/>
    <w:rsid w:val="002D43BC"/>
    <w:rsid w:val="002D6B05"/>
    <w:rsid w:val="002D7888"/>
    <w:rsid w:val="002D7DBE"/>
    <w:rsid w:val="002E232D"/>
    <w:rsid w:val="002E4F86"/>
    <w:rsid w:val="002E5AE2"/>
    <w:rsid w:val="002E5BD7"/>
    <w:rsid w:val="002F3220"/>
    <w:rsid w:val="002F3532"/>
    <w:rsid w:val="002F45AC"/>
    <w:rsid w:val="002F46A9"/>
    <w:rsid w:val="002F5277"/>
    <w:rsid w:val="002F59F6"/>
    <w:rsid w:val="002F5C8F"/>
    <w:rsid w:val="002F7469"/>
    <w:rsid w:val="00302F24"/>
    <w:rsid w:val="003036A0"/>
    <w:rsid w:val="00304815"/>
    <w:rsid w:val="00310FF5"/>
    <w:rsid w:val="003139F5"/>
    <w:rsid w:val="00313C38"/>
    <w:rsid w:val="00314F3D"/>
    <w:rsid w:val="00314F6F"/>
    <w:rsid w:val="0031671D"/>
    <w:rsid w:val="003176FC"/>
    <w:rsid w:val="00320194"/>
    <w:rsid w:val="0032163A"/>
    <w:rsid w:val="0032167F"/>
    <w:rsid w:val="0032512B"/>
    <w:rsid w:val="00327B3F"/>
    <w:rsid w:val="00327D42"/>
    <w:rsid w:val="00327FBC"/>
    <w:rsid w:val="00330E15"/>
    <w:rsid w:val="0033391A"/>
    <w:rsid w:val="00334D23"/>
    <w:rsid w:val="00335597"/>
    <w:rsid w:val="00337097"/>
    <w:rsid w:val="00337694"/>
    <w:rsid w:val="003376C7"/>
    <w:rsid w:val="00341075"/>
    <w:rsid w:val="00341EC9"/>
    <w:rsid w:val="00342559"/>
    <w:rsid w:val="003427C0"/>
    <w:rsid w:val="00342837"/>
    <w:rsid w:val="0034429D"/>
    <w:rsid w:val="00344969"/>
    <w:rsid w:val="00344A10"/>
    <w:rsid w:val="00345F3C"/>
    <w:rsid w:val="0034773C"/>
    <w:rsid w:val="00347CA7"/>
    <w:rsid w:val="0035038F"/>
    <w:rsid w:val="003523C8"/>
    <w:rsid w:val="003526B3"/>
    <w:rsid w:val="003526FB"/>
    <w:rsid w:val="00352B89"/>
    <w:rsid w:val="003534B6"/>
    <w:rsid w:val="003555E7"/>
    <w:rsid w:val="00355AB8"/>
    <w:rsid w:val="00355DB0"/>
    <w:rsid w:val="00362FA8"/>
    <w:rsid w:val="0036387F"/>
    <w:rsid w:val="0036440F"/>
    <w:rsid w:val="00365707"/>
    <w:rsid w:val="00371D27"/>
    <w:rsid w:val="003732F9"/>
    <w:rsid w:val="00375DA9"/>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810"/>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C66B0"/>
    <w:rsid w:val="003D0A25"/>
    <w:rsid w:val="003D2D82"/>
    <w:rsid w:val="003D3091"/>
    <w:rsid w:val="003D494A"/>
    <w:rsid w:val="003D5306"/>
    <w:rsid w:val="003D55C7"/>
    <w:rsid w:val="003D561B"/>
    <w:rsid w:val="003D6C65"/>
    <w:rsid w:val="003D7F13"/>
    <w:rsid w:val="003E0182"/>
    <w:rsid w:val="003E39B2"/>
    <w:rsid w:val="003E3E01"/>
    <w:rsid w:val="003E60C5"/>
    <w:rsid w:val="003E6C50"/>
    <w:rsid w:val="003E79F2"/>
    <w:rsid w:val="003E7ED3"/>
    <w:rsid w:val="003F1752"/>
    <w:rsid w:val="003F2BAD"/>
    <w:rsid w:val="003F4010"/>
    <w:rsid w:val="003F4932"/>
    <w:rsid w:val="003F53FE"/>
    <w:rsid w:val="003F5C51"/>
    <w:rsid w:val="003F7BD0"/>
    <w:rsid w:val="0040114F"/>
    <w:rsid w:val="004017FF"/>
    <w:rsid w:val="0040217D"/>
    <w:rsid w:val="00402E96"/>
    <w:rsid w:val="004036F7"/>
    <w:rsid w:val="004055C3"/>
    <w:rsid w:val="00406E94"/>
    <w:rsid w:val="00407740"/>
    <w:rsid w:val="00410229"/>
    <w:rsid w:val="00410718"/>
    <w:rsid w:val="004108BA"/>
    <w:rsid w:val="00410B15"/>
    <w:rsid w:val="004116C2"/>
    <w:rsid w:val="0041173E"/>
    <w:rsid w:val="004148D3"/>
    <w:rsid w:val="00414DD0"/>
    <w:rsid w:val="004151D4"/>
    <w:rsid w:val="00415F4D"/>
    <w:rsid w:val="004173C2"/>
    <w:rsid w:val="004215F3"/>
    <w:rsid w:val="00422795"/>
    <w:rsid w:val="00422872"/>
    <w:rsid w:val="00423554"/>
    <w:rsid w:val="004242DE"/>
    <w:rsid w:val="00425384"/>
    <w:rsid w:val="004266B9"/>
    <w:rsid w:val="00426E7C"/>
    <w:rsid w:val="00427D84"/>
    <w:rsid w:val="00433D13"/>
    <w:rsid w:val="0043431C"/>
    <w:rsid w:val="004344C4"/>
    <w:rsid w:val="00435102"/>
    <w:rsid w:val="00435584"/>
    <w:rsid w:val="00435744"/>
    <w:rsid w:val="00441628"/>
    <w:rsid w:val="00442245"/>
    <w:rsid w:val="00442345"/>
    <w:rsid w:val="00442823"/>
    <w:rsid w:val="004429F7"/>
    <w:rsid w:val="00442AD2"/>
    <w:rsid w:val="00442D70"/>
    <w:rsid w:val="00442F05"/>
    <w:rsid w:val="00442FA6"/>
    <w:rsid w:val="00444535"/>
    <w:rsid w:val="00444A66"/>
    <w:rsid w:val="004453F7"/>
    <w:rsid w:val="0044548C"/>
    <w:rsid w:val="00446310"/>
    <w:rsid w:val="004508E4"/>
    <w:rsid w:val="00451928"/>
    <w:rsid w:val="00453859"/>
    <w:rsid w:val="00455522"/>
    <w:rsid w:val="00457541"/>
    <w:rsid w:val="0045757B"/>
    <w:rsid w:val="0046040E"/>
    <w:rsid w:val="00460B87"/>
    <w:rsid w:val="0046142C"/>
    <w:rsid w:val="004623AE"/>
    <w:rsid w:val="00463A8A"/>
    <w:rsid w:val="00465D40"/>
    <w:rsid w:val="00466A53"/>
    <w:rsid w:val="00470B2D"/>
    <w:rsid w:val="00471816"/>
    <w:rsid w:val="00471A20"/>
    <w:rsid w:val="00472B6C"/>
    <w:rsid w:val="004732E0"/>
    <w:rsid w:val="0047443C"/>
    <w:rsid w:val="0047722D"/>
    <w:rsid w:val="00477EC0"/>
    <w:rsid w:val="004803B0"/>
    <w:rsid w:val="004839DE"/>
    <w:rsid w:val="0048485A"/>
    <w:rsid w:val="00484C8F"/>
    <w:rsid w:val="00486A20"/>
    <w:rsid w:val="004873EB"/>
    <w:rsid w:val="004906C6"/>
    <w:rsid w:val="00491979"/>
    <w:rsid w:val="00491C93"/>
    <w:rsid w:val="004924FA"/>
    <w:rsid w:val="0049277C"/>
    <w:rsid w:val="00493AF9"/>
    <w:rsid w:val="004948D9"/>
    <w:rsid w:val="00496859"/>
    <w:rsid w:val="0049699D"/>
    <w:rsid w:val="004A0482"/>
    <w:rsid w:val="004A0907"/>
    <w:rsid w:val="004A0C20"/>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C05E2"/>
    <w:rsid w:val="004C0A92"/>
    <w:rsid w:val="004C0F83"/>
    <w:rsid w:val="004C1F2D"/>
    <w:rsid w:val="004C1F98"/>
    <w:rsid w:val="004C26A6"/>
    <w:rsid w:val="004C2B82"/>
    <w:rsid w:val="004C44A2"/>
    <w:rsid w:val="004C477D"/>
    <w:rsid w:val="004C479D"/>
    <w:rsid w:val="004C48F2"/>
    <w:rsid w:val="004C61A8"/>
    <w:rsid w:val="004C6C45"/>
    <w:rsid w:val="004C7351"/>
    <w:rsid w:val="004D1FEB"/>
    <w:rsid w:val="004D2565"/>
    <w:rsid w:val="004D4E32"/>
    <w:rsid w:val="004D510A"/>
    <w:rsid w:val="004D6F80"/>
    <w:rsid w:val="004D7B15"/>
    <w:rsid w:val="004E0BD1"/>
    <w:rsid w:val="004E0D3A"/>
    <w:rsid w:val="004E140C"/>
    <w:rsid w:val="004E4BA1"/>
    <w:rsid w:val="004E5003"/>
    <w:rsid w:val="004E62BB"/>
    <w:rsid w:val="004E6E04"/>
    <w:rsid w:val="004E6FA6"/>
    <w:rsid w:val="004F02A0"/>
    <w:rsid w:val="004F0BDB"/>
    <w:rsid w:val="004F190C"/>
    <w:rsid w:val="004F1B0A"/>
    <w:rsid w:val="004F1CFF"/>
    <w:rsid w:val="004F7BA1"/>
    <w:rsid w:val="00500177"/>
    <w:rsid w:val="005023C6"/>
    <w:rsid w:val="005025E7"/>
    <w:rsid w:val="005032DB"/>
    <w:rsid w:val="00503C5E"/>
    <w:rsid w:val="00504B14"/>
    <w:rsid w:val="00507534"/>
    <w:rsid w:val="00510908"/>
    <w:rsid w:val="005111A6"/>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3306"/>
    <w:rsid w:val="005343EB"/>
    <w:rsid w:val="0053455B"/>
    <w:rsid w:val="00534B8D"/>
    <w:rsid w:val="00534D7A"/>
    <w:rsid w:val="00540D2B"/>
    <w:rsid w:val="005422B3"/>
    <w:rsid w:val="00543A8D"/>
    <w:rsid w:val="00543F9C"/>
    <w:rsid w:val="005447C3"/>
    <w:rsid w:val="00545176"/>
    <w:rsid w:val="00545BB6"/>
    <w:rsid w:val="00545F91"/>
    <w:rsid w:val="00546D8B"/>
    <w:rsid w:val="005477CD"/>
    <w:rsid w:val="0055123B"/>
    <w:rsid w:val="00551341"/>
    <w:rsid w:val="00552960"/>
    <w:rsid w:val="00554C48"/>
    <w:rsid w:val="005604A0"/>
    <w:rsid w:val="00560FD4"/>
    <w:rsid w:val="005622A5"/>
    <w:rsid w:val="005675E3"/>
    <w:rsid w:val="0057176D"/>
    <w:rsid w:val="00572EB3"/>
    <w:rsid w:val="005746AE"/>
    <w:rsid w:val="005750FC"/>
    <w:rsid w:val="00576552"/>
    <w:rsid w:val="00582AB3"/>
    <w:rsid w:val="005856B0"/>
    <w:rsid w:val="0058620C"/>
    <w:rsid w:val="00586658"/>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75B5"/>
    <w:rsid w:val="005B085A"/>
    <w:rsid w:val="005B0DF8"/>
    <w:rsid w:val="005B1D20"/>
    <w:rsid w:val="005B2268"/>
    <w:rsid w:val="005B354F"/>
    <w:rsid w:val="005B3CEE"/>
    <w:rsid w:val="005B43E7"/>
    <w:rsid w:val="005B505F"/>
    <w:rsid w:val="005B66C8"/>
    <w:rsid w:val="005C0A6F"/>
    <w:rsid w:val="005C0CC6"/>
    <w:rsid w:val="005C4E1B"/>
    <w:rsid w:val="005C53B0"/>
    <w:rsid w:val="005C56FB"/>
    <w:rsid w:val="005C5DAD"/>
    <w:rsid w:val="005D02BC"/>
    <w:rsid w:val="005D1F56"/>
    <w:rsid w:val="005D2056"/>
    <w:rsid w:val="005D20B8"/>
    <w:rsid w:val="005D4848"/>
    <w:rsid w:val="005D499A"/>
    <w:rsid w:val="005D656C"/>
    <w:rsid w:val="005D74A4"/>
    <w:rsid w:val="005D7DB9"/>
    <w:rsid w:val="005E114D"/>
    <w:rsid w:val="005E1E02"/>
    <w:rsid w:val="005E26C5"/>
    <w:rsid w:val="005E2CC0"/>
    <w:rsid w:val="005E62A8"/>
    <w:rsid w:val="005E64A9"/>
    <w:rsid w:val="005E64C8"/>
    <w:rsid w:val="005E68FA"/>
    <w:rsid w:val="005F1E35"/>
    <w:rsid w:val="005F2DA2"/>
    <w:rsid w:val="005F37D9"/>
    <w:rsid w:val="005F5026"/>
    <w:rsid w:val="005F5AF6"/>
    <w:rsid w:val="005F6D80"/>
    <w:rsid w:val="005F6F95"/>
    <w:rsid w:val="005F754B"/>
    <w:rsid w:val="005F75A3"/>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B57"/>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C8D"/>
    <w:rsid w:val="0063600C"/>
    <w:rsid w:val="00641237"/>
    <w:rsid w:val="006412EB"/>
    <w:rsid w:val="00641727"/>
    <w:rsid w:val="00641F4C"/>
    <w:rsid w:val="006424DC"/>
    <w:rsid w:val="00642D53"/>
    <w:rsid w:val="00644817"/>
    <w:rsid w:val="00644B6B"/>
    <w:rsid w:val="006475BE"/>
    <w:rsid w:val="006512CA"/>
    <w:rsid w:val="006527EC"/>
    <w:rsid w:val="00653F64"/>
    <w:rsid w:val="006540AD"/>
    <w:rsid w:val="00655DF6"/>
    <w:rsid w:val="006570D2"/>
    <w:rsid w:val="006601B0"/>
    <w:rsid w:val="00660C4F"/>
    <w:rsid w:val="00661F3C"/>
    <w:rsid w:val="006628BA"/>
    <w:rsid w:val="00663A17"/>
    <w:rsid w:val="006646F8"/>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0F5"/>
    <w:rsid w:val="00687167"/>
    <w:rsid w:val="006876D4"/>
    <w:rsid w:val="0069064B"/>
    <w:rsid w:val="00691377"/>
    <w:rsid w:val="00691403"/>
    <w:rsid w:val="00691CE5"/>
    <w:rsid w:val="00693C22"/>
    <w:rsid w:val="00693DBB"/>
    <w:rsid w:val="0069483C"/>
    <w:rsid w:val="00695DF1"/>
    <w:rsid w:val="006967D8"/>
    <w:rsid w:val="0069773D"/>
    <w:rsid w:val="006A0531"/>
    <w:rsid w:val="006A1823"/>
    <w:rsid w:val="006A29A4"/>
    <w:rsid w:val="006A309E"/>
    <w:rsid w:val="006A3346"/>
    <w:rsid w:val="006A384C"/>
    <w:rsid w:val="006A426A"/>
    <w:rsid w:val="006A47B7"/>
    <w:rsid w:val="006A6E74"/>
    <w:rsid w:val="006A6EB7"/>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1E92"/>
    <w:rsid w:val="006D3A9F"/>
    <w:rsid w:val="006D7F1D"/>
    <w:rsid w:val="006D7FB9"/>
    <w:rsid w:val="006E6B6A"/>
    <w:rsid w:val="006E70AF"/>
    <w:rsid w:val="006E786E"/>
    <w:rsid w:val="006F04D9"/>
    <w:rsid w:val="006F1260"/>
    <w:rsid w:val="006F1861"/>
    <w:rsid w:val="006F295E"/>
    <w:rsid w:val="006F370E"/>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2058E"/>
    <w:rsid w:val="007216D5"/>
    <w:rsid w:val="0072270D"/>
    <w:rsid w:val="0072573F"/>
    <w:rsid w:val="007263DD"/>
    <w:rsid w:val="0072668A"/>
    <w:rsid w:val="0072668D"/>
    <w:rsid w:val="00726CEB"/>
    <w:rsid w:val="00730B2C"/>
    <w:rsid w:val="00730E41"/>
    <w:rsid w:val="00731C9F"/>
    <w:rsid w:val="00731E1B"/>
    <w:rsid w:val="007321E1"/>
    <w:rsid w:val="0073412A"/>
    <w:rsid w:val="0073744E"/>
    <w:rsid w:val="00737CDD"/>
    <w:rsid w:val="007400C9"/>
    <w:rsid w:val="007408D1"/>
    <w:rsid w:val="0074169E"/>
    <w:rsid w:val="00741711"/>
    <w:rsid w:val="00741B3E"/>
    <w:rsid w:val="00741B59"/>
    <w:rsid w:val="00742952"/>
    <w:rsid w:val="00743834"/>
    <w:rsid w:val="00743AED"/>
    <w:rsid w:val="00747A17"/>
    <w:rsid w:val="00751287"/>
    <w:rsid w:val="00751B6A"/>
    <w:rsid w:val="007521B4"/>
    <w:rsid w:val="00752443"/>
    <w:rsid w:val="007528B6"/>
    <w:rsid w:val="00752EC1"/>
    <w:rsid w:val="0075300C"/>
    <w:rsid w:val="00753C0B"/>
    <w:rsid w:val="00754522"/>
    <w:rsid w:val="00757EAA"/>
    <w:rsid w:val="0076030A"/>
    <w:rsid w:val="00760B62"/>
    <w:rsid w:val="00762BED"/>
    <w:rsid w:val="00770943"/>
    <w:rsid w:val="00772C27"/>
    <w:rsid w:val="00773BBC"/>
    <w:rsid w:val="00773BD3"/>
    <w:rsid w:val="00774C91"/>
    <w:rsid w:val="00774F77"/>
    <w:rsid w:val="0077545A"/>
    <w:rsid w:val="0077546A"/>
    <w:rsid w:val="00776D31"/>
    <w:rsid w:val="007806AB"/>
    <w:rsid w:val="00783872"/>
    <w:rsid w:val="00784AD8"/>
    <w:rsid w:val="00785A33"/>
    <w:rsid w:val="00785B38"/>
    <w:rsid w:val="00787E06"/>
    <w:rsid w:val="00791D56"/>
    <w:rsid w:val="00792B71"/>
    <w:rsid w:val="00792D18"/>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C37"/>
    <w:rsid w:val="007D6CF5"/>
    <w:rsid w:val="007D716F"/>
    <w:rsid w:val="007E2F66"/>
    <w:rsid w:val="007E5953"/>
    <w:rsid w:val="007E5B31"/>
    <w:rsid w:val="007E65A4"/>
    <w:rsid w:val="007E74A5"/>
    <w:rsid w:val="007E74DF"/>
    <w:rsid w:val="007E7B85"/>
    <w:rsid w:val="007F08FE"/>
    <w:rsid w:val="007F131C"/>
    <w:rsid w:val="007F17C4"/>
    <w:rsid w:val="007F2779"/>
    <w:rsid w:val="007F3075"/>
    <w:rsid w:val="007F3A0E"/>
    <w:rsid w:val="007F639C"/>
    <w:rsid w:val="007F6792"/>
    <w:rsid w:val="00800355"/>
    <w:rsid w:val="00800D34"/>
    <w:rsid w:val="00801593"/>
    <w:rsid w:val="00801891"/>
    <w:rsid w:val="008031F8"/>
    <w:rsid w:val="00803604"/>
    <w:rsid w:val="00806426"/>
    <w:rsid w:val="0080701D"/>
    <w:rsid w:val="0080743B"/>
    <w:rsid w:val="008078EC"/>
    <w:rsid w:val="00810F77"/>
    <w:rsid w:val="00811DA2"/>
    <w:rsid w:val="00812E01"/>
    <w:rsid w:val="00813CCB"/>
    <w:rsid w:val="00813F69"/>
    <w:rsid w:val="0081426B"/>
    <w:rsid w:val="0081499B"/>
    <w:rsid w:val="00817130"/>
    <w:rsid w:val="00817E77"/>
    <w:rsid w:val="00820618"/>
    <w:rsid w:val="00820D42"/>
    <w:rsid w:val="00821588"/>
    <w:rsid w:val="008217FE"/>
    <w:rsid w:val="00823138"/>
    <w:rsid w:val="0082453C"/>
    <w:rsid w:val="00824927"/>
    <w:rsid w:val="0082567E"/>
    <w:rsid w:val="008259D2"/>
    <w:rsid w:val="00825C05"/>
    <w:rsid w:val="008264C7"/>
    <w:rsid w:val="00831A98"/>
    <w:rsid w:val="00833120"/>
    <w:rsid w:val="008341E2"/>
    <w:rsid w:val="0083648D"/>
    <w:rsid w:val="008369A0"/>
    <w:rsid w:val="00837E00"/>
    <w:rsid w:val="00840DEE"/>
    <w:rsid w:val="0084298F"/>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B03"/>
    <w:rsid w:val="00860C12"/>
    <w:rsid w:val="00861165"/>
    <w:rsid w:val="00865845"/>
    <w:rsid w:val="00867940"/>
    <w:rsid w:val="00870337"/>
    <w:rsid w:val="008710FC"/>
    <w:rsid w:val="0087128F"/>
    <w:rsid w:val="00871ABA"/>
    <w:rsid w:val="0087291A"/>
    <w:rsid w:val="00872FD4"/>
    <w:rsid w:val="00873681"/>
    <w:rsid w:val="008736BC"/>
    <w:rsid w:val="008739B1"/>
    <w:rsid w:val="00874597"/>
    <w:rsid w:val="00874F3A"/>
    <w:rsid w:val="00875EBA"/>
    <w:rsid w:val="0087635D"/>
    <w:rsid w:val="008775BE"/>
    <w:rsid w:val="00877F1B"/>
    <w:rsid w:val="008800B4"/>
    <w:rsid w:val="00880455"/>
    <w:rsid w:val="00881067"/>
    <w:rsid w:val="0088208A"/>
    <w:rsid w:val="00882626"/>
    <w:rsid w:val="00883214"/>
    <w:rsid w:val="008850AC"/>
    <w:rsid w:val="008867EA"/>
    <w:rsid w:val="0088681E"/>
    <w:rsid w:val="008870CE"/>
    <w:rsid w:val="00891152"/>
    <w:rsid w:val="00893467"/>
    <w:rsid w:val="008938DB"/>
    <w:rsid w:val="00894431"/>
    <w:rsid w:val="0089520A"/>
    <w:rsid w:val="008952A0"/>
    <w:rsid w:val="00896247"/>
    <w:rsid w:val="00897953"/>
    <w:rsid w:val="008A0704"/>
    <w:rsid w:val="008A093F"/>
    <w:rsid w:val="008A0AAF"/>
    <w:rsid w:val="008A1241"/>
    <w:rsid w:val="008A1DC6"/>
    <w:rsid w:val="008A1E99"/>
    <w:rsid w:val="008A294F"/>
    <w:rsid w:val="008A4140"/>
    <w:rsid w:val="008A5136"/>
    <w:rsid w:val="008A52EE"/>
    <w:rsid w:val="008A54C8"/>
    <w:rsid w:val="008A6AD5"/>
    <w:rsid w:val="008A6BBC"/>
    <w:rsid w:val="008A746F"/>
    <w:rsid w:val="008B1CFB"/>
    <w:rsid w:val="008B263C"/>
    <w:rsid w:val="008B3F04"/>
    <w:rsid w:val="008B47BF"/>
    <w:rsid w:val="008B4875"/>
    <w:rsid w:val="008B4EA4"/>
    <w:rsid w:val="008B5160"/>
    <w:rsid w:val="008C0095"/>
    <w:rsid w:val="008C0D14"/>
    <w:rsid w:val="008C16AD"/>
    <w:rsid w:val="008C19BA"/>
    <w:rsid w:val="008C1D7E"/>
    <w:rsid w:val="008C22F3"/>
    <w:rsid w:val="008C3A50"/>
    <w:rsid w:val="008C3E4D"/>
    <w:rsid w:val="008C60BB"/>
    <w:rsid w:val="008D0582"/>
    <w:rsid w:val="008D0C9E"/>
    <w:rsid w:val="008D0F0A"/>
    <w:rsid w:val="008D0FDD"/>
    <w:rsid w:val="008D222F"/>
    <w:rsid w:val="008D2D81"/>
    <w:rsid w:val="008D3688"/>
    <w:rsid w:val="008D58B9"/>
    <w:rsid w:val="008D5DEF"/>
    <w:rsid w:val="008D6AE4"/>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4F0C"/>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60B95"/>
    <w:rsid w:val="00964A8E"/>
    <w:rsid w:val="009658EB"/>
    <w:rsid w:val="009663FD"/>
    <w:rsid w:val="0096663C"/>
    <w:rsid w:val="009676A6"/>
    <w:rsid w:val="009676E2"/>
    <w:rsid w:val="00967A84"/>
    <w:rsid w:val="00967D07"/>
    <w:rsid w:val="00971506"/>
    <w:rsid w:val="00972233"/>
    <w:rsid w:val="009758F1"/>
    <w:rsid w:val="00975E98"/>
    <w:rsid w:val="0097735A"/>
    <w:rsid w:val="009802A2"/>
    <w:rsid w:val="00980B80"/>
    <w:rsid w:val="00980CDB"/>
    <w:rsid w:val="00981813"/>
    <w:rsid w:val="009820F9"/>
    <w:rsid w:val="00983824"/>
    <w:rsid w:val="00985657"/>
    <w:rsid w:val="00986AAC"/>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1EF0"/>
    <w:rsid w:val="009A20CE"/>
    <w:rsid w:val="009A4B2E"/>
    <w:rsid w:val="009A5EC7"/>
    <w:rsid w:val="009B190B"/>
    <w:rsid w:val="009B30D5"/>
    <w:rsid w:val="009B43BD"/>
    <w:rsid w:val="009B58DE"/>
    <w:rsid w:val="009B59BF"/>
    <w:rsid w:val="009B6299"/>
    <w:rsid w:val="009B748C"/>
    <w:rsid w:val="009C00C0"/>
    <w:rsid w:val="009C0519"/>
    <w:rsid w:val="009C0D91"/>
    <w:rsid w:val="009C1EB5"/>
    <w:rsid w:val="009C3422"/>
    <w:rsid w:val="009C3F2C"/>
    <w:rsid w:val="009C4215"/>
    <w:rsid w:val="009C67DC"/>
    <w:rsid w:val="009C795D"/>
    <w:rsid w:val="009D0196"/>
    <w:rsid w:val="009D01CD"/>
    <w:rsid w:val="009D1299"/>
    <w:rsid w:val="009D3ABC"/>
    <w:rsid w:val="009D59A7"/>
    <w:rsid w:val="009D6279"/>
    <w:rsid w:val="009E070B"/>
    <w:rsid w:val="009E1340"/>
    <w:rsid w:val="009E1F26"/>
    <w:rsid w:val="009E395C"/>
    <w:rsid w:val="009E5104"/>
    <w:rsid w:val="009E5577"/>
    <w:rsid w:val="009E59DB"/>
    <w:rsid w:val="009E5DC7"/>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4AC"/>
    <w:rsid w:val="00A10525"/>
    <w:rsid w:val="00A1088A"/>
    <w:rsid w:val="00A1124D"/>
    <w:rsid w:val="00A1125A"/>
    <w:rsid w:val="00A11427"/>
    <w:rsid w:val="00A12D41"/>
    <w:rsid w:val="00A14C2E"/>
    <w:rsid w:val="00A14E1D"/>
    <w:rsid w:val="00A15334"/>
    <w:rsid w:val="00A1538B"/>
    <w:rsid w:val="00A15FB0"/>
    <w:rsid w:val="00A20107"/>
    <w:rsid w:val="00A2222E"/>
    <w:rsid w:val="00A22F7F"/>
    <w:rsid w:val="00A23034"/>
    <w:rsid w:val="00A236C2"/>
    <w:rsid w:val="00A23FB9"/>
    <w:rsid w:val="00A2402A"/>
    <w:rsid w:val="00A249F2"/>
    <w:rsid w:val="00A24D92"/>
    <w:rsid w:val="00A3070A"/>
    <w:rsid w:val="00A3135A"/>
    <w:rsid w:val="00A32B0F"/>
    <w:rsid w:val="00A32ED4"/>
    <w:rsid w:val="00A335EC"/>
    <w:rsid w:val="00A33A4A"/>
    <w:rsid w:val="00A347F5"/>
    <w:rsid w:val="00A35E0E"/>
    <w:rsid w:val="00A35EBD"/>
    <w:rsid w:val="00A367F2"/>
    <w:rsid w:val="00A36FF8"/>
    <w:rsid w:val="00A377E9"/>
    <w:rsid w:val="00A409CE"/>
    <w:rsid w:val="00A40B52"/>
    <w:rsid w:val="00A415C8"/>
    <w:rsid w:val="00A41651"/>
    <w:rsid w:val="00A4465C"/>
    <w:rsid w:val="00A447E0"/>
    <w:rsid w:val="00A45E83"/>
    <w:rsid w:val="00A46B57"/>
    <w:rsid w:val="00A51EE9"/>
    <w:rsid w:val="00A52B25"/>
    <w:rsid w:val="00A539ED"/>
    <w:rsid w:val="00A55739"/>
    <w:rsid w:val="00A558DE"/>
    <w:rsid w:val="00A60686"/>
    <w:rsid w:val="00A61202"/>
    <w:rsid w:val="00A62B80"/>
    <w:rsid w:val="00A63657"/>
    <w:rsid w:val="00A63EC2"/>
    <w:rsid w:val="00A642C3"/>
    <w:rsid w:val="00A64839"/>
    <w:rsid w:val="00A67E28"/>
    <w:rsid w:val="00A7021B"/>
    <w:rsid w:val="00A7152E"/>
    <w:rsid w:val="00A72877"/>
    <w:rsid w:val="00A73163"/>
    <w:rsid w:val="00A75125"/>
    <w:rsid w:val="00A7729B"/>
    <w:rsid w:val="00A81524"/>
    <w:rsid w:val="00A8170E"/>
    <w:rsid w:val="00A83DE9"/>
    <w:rsid w:val="00A849E5"/>
    <w:rsid w:val="00A85159"/>
    <w:rsid w:val="00A861CC"/>
    <w:rsid w:val="00A86997"/>
    <w:rsid w:val="00A86FD1"/>
    <w:rsid w:val="00A90016"/>
    <w:rsid w:val="00A901BB"/>
    <w:rsid w:val="00A90B9E"/>
    <w:rsid w:val="00A91658"/>
    <w:rsid w:val="00A919CE"/>
    <w:rsid w:val="00A922F4"/>
    <w:rsid w:val="00A934B9"/>
    <w:rsid w:val="00A94CF5"/>
    <w:rsid w:val="00A957C8"/>
    <w:rsid w:val="00A963B2"/>
    <w:rsid w:val="00A9775F"/>
    <w:rsid w:val="00AA0073"/>
    <w:rsid w:val="00AA0A54"/>
    <w:rsid w:val="00AA1D02"/>
    <w:rsid w:val="00AA2564"/>
    <w:rsid w:val="00AA457F"/>
    <w:rsid w:val="00AA57B2"/>
    <w:rsid w:val="00AA762E"/>
    <w:rsid w:val="00AA76EF"/>
    <w:rsid w:val="00AB1CCA"/>
    <w:rsid w:val="00AB59E4"/>
    <w:rsid w:val="00AB6DF4"/>
    <w:rsid w:val="00AB6F9B"/>
    <w:rsid w:val="00AB7259"/>
    <w:rsid w:val="00AC01FE"/>
    <w:rsid w:val="00AC03E1"/>
    <w:rsid w:val="00AC04CD"/>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4962"/>
    <w:rsid w:val="00AD6866"/>
    <w:rsid w:val="00AD766D"/>
    <w:rsid w:val="00AD7C15"/>
    <w:rsid w:val="00AE02E6"/>
    <w:rsid w:val="00AE0793"/>
    <w:rsid w:val="00AE391B"/>
    <w:rsid w:val="00AE3F39"/>
    <w:rsid w:val="00AE4CEE"/>
    <w:rsid w:val="00AE5BF0"/>
    <w:rsid w:val="00AE5DD6"/>
    <w:rsid w:val="00AE65A3"/>
    <w:rsid w:val="00AE7454"/>
    <w:rsid w:val="00AF08B7"/>
    <w:rsid w:val="00AF2ACF"/>
    <w:rsid w:val="00AF2BF6"/>
    <w:rsid w:val="00AF476D"/>
    <w:rsid w:val="00AF62D5"/>
    <w:rsid w:val="00AF6594"/>
    <w:rsid w:val="00B02537"/>
    <w:rsid w:val="00B046D6"/>
    <w:rsid w:val="00B05A19"/>
    <w:rsid w:val="00B06B9A"/>
    <w:rsid w:val="00B10562"/>
    <w:rsid w:val="00B1065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6F00"/>
    <w:rsid w:val="00B27C59"/>
    <w:rsid w:val="00B30904"/>
    <w:rsid w:val="00B30F78"/>
    <w:rsid w:val="00B318FB"/>
    <w:rsid w:val="00B319ED"/>
    <w:rsid w:val="00B31B89"/>
    <w:rsid w:val="00B31C9C"/>
    <w:rsid w:val="00B32169"/>
    <w:rsid w:val="00B32573"/>
    <w:rsid w:val="00B33B2D"/>
    <w:rsid w:val="00B33CC5"/>
    <w:rsid w:val="00B35237"/>
    <w:rsid w:val="00B37C3D"/>
    <w:rsid w:val="00B4120D"/>
    <w:rsid w:val="00B41E01"/>
    <w:rsid w:val="00B4226D"/>
    <w:rsid w:val="00B43505"/>
    <w:rsid w:val="00B4437C"/>
    <w:rsid w:val="00B44ECA"/>
    <w:rsid w:val="00B4687C"/>
    <w:rsid w:val="00B51CEB"/>
    <w:rsid w:val="00B52051"/>
    <w:rsid w:val="00B52A8B"/>
    <w:rsid w:val="00B53137"/>
    <w:rsid w:val="00B537C5"/>
    <w:rsid w:val="00B53B77"/>
    <w:rsid w:val="00B54B33"/>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A0466"/>
    <w:rsid w:val="00BA17C3"/>
    <w:rsid w:val="00BA290D"/>
    <w:rsid w:val="00BA5F4F"/>
    <w:rsid w:val="00BA78FD"/>
    <w:rsid w:val="00BB0BCD"/>
    <w:rsid w:val="00BB10AD"/>
    <w:rsid w:val="00BB22C4"/>
    <w:rsid w:val="00BB3039"/>
    <w:rsid w:val="00BB3FBF"/>
    <w:rsid w:val="00BB5857"/>
    <w:rsid w:val="00BB5ECA"/>
    <w:rsid w:val="00BB6B7E"/>
    <w:rsid w:val="00BB793C"/>
    <w:rsid w:val="00BC01F6"/>
    <w:rsid w:val="00BC046C"/>
    <w:rsid w:val="00BC10F1"/>
    <w:rsid w:val="00BC1969"/>
    <w:rsid w:val="00BC3EDD"/>
    <w:rsid w:val="00BC4610"/>
    <w:rsid w:val="00BC4C57"/>
    <w:rsid w:val="00BC57CE"/>
    <w:rsid w:val="00BC6154"/>
    <w:rsid w:val="00BC755E"/>
    <w:rsid w:val="00BC79DD"/>
    <w:rsid w:val="00BD0463"/>
    <w:rsid w:val="00BD1427"/>
    <w:rsid w:val="00BD27CE"/>
    <w:rsid w:val="00BD3BC4"/>
    <w:rsid w:val="00BD5B0E"/>
    <w:rsid w:val="00BD5FC3"/>
    <w:rsid w:val="00BD6990"/>
    <w:rsid w:val="00BE08D9"/>
    <w:rsid w:val="00BE1386"/>
    <w:rsid w:val="00BE24A1"/>
    <w:rsid w:val="00BE3D68"/>
    <w:rsid w:val="00BE55E6"/>
    <w:rsid w:val="00BE5FBE"/>
    <w:rsid w:val="00BE6445"/>
    <w:rsid w:val="00BF000D"/>
    <w:rsid w:val="00BF1E6D"/>
    <w:rsid w:val="00BF21BB"/>
    <w:rsid w:val="00BF2E8E"/>
    <w:rsid w:val="00BF6422"/>
    <w:rsid w:val="00C02E7F"/>
    <w:rsid w:val="00C0346B"/>
    <w:rsid w:val="00C04C64"/>
    <w:rsid w:val="00C04D05"/>
    <w:rsid w:val="00C04F12"/>
    <w:rsid w:val="00C066C7"/>
    <w:rsid w:val="00C06DB2"/>
    <w:rsid w:val="00C10ACF"/>
    <w:rsid w:val="00C12103"/>
    <w:rsid w:val="00C12CCF"/>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7973"/>
    <w:rsid w:val="00C42151"/>
    <w:rsid w:val="00C4275C"/>
    <w:rsid w:val="00C432EC"/>
    <w:rsid w:val="00C44083"/>
    <w:rsid w:val="00C45051"/>
    <w:rsid w:val="00C450E1"/>
    <w:rsid w:val="00C45B87"/>
    <w:rsid w:val="00C47287"/>
    <w:rsid w:val="00C510AF"/>
    <w:rsid w:val="00C53465"/>
    <w:rsid w:val="00C53773"/>
    <w:rsid w:val="00C53D43"/>
    <w:rsid w:val="00C53E18"/>
    <w:rsid w:val="00C55EE8"/>
    <w:rsid w:val="00C56517"/>
    <w:rsid w:val="00C57A7D"/>
    <w:rsid w:val="00C60573"/>
    <w:rsid w:val="00C60BB9"/>
    <w:rsid w:val="00C614CD"/>
    <w:rsid w:val="00C62685"/>
    <w:rsid w:val="00C62D95"/>
    <w:rsid w:val="00C63395"/>
    <w:rsid w:val="00C63574"/>
    <w:rsid w:val="00C7036D"/>
    <w:rsid w:val="00C72587"/>
    <w:rsid w:val="00C72AAD"/>
    <w:rsid w:val="00C72E5E"/>
    <w:rsid w:val="00C72EC0"/>
    <w:rsid w:val="00C7394F"/>
    <w:rsid w:val="00C740D8"/>
    <w:rsid w:val="00C7430D"/>
    <w:rsid w:val="00C74E4B"/>
    <w:rsid w:val="00C762FE"/>
    <w:rsid w:val="00C76698"/>
    <w:rsid w:val="00C7729D"/>
    <w:rsid w:val="00C77355"/>
    <w:rsid w:val="00C774A0"/>
    <w:rsid w:val="00C80CB1"/>
    <w:rsid w:val="00C847C0"/>
    <w:rsid w:val="00C85025"/>
    <w:rsid w:val="00C877F0"/>
    <w:rsid w:val="00C90051"/>
    <w:rsid w:val="00C90315"/>
    <w:rsid w:val="00C907BD"/>
    <w:rsid w:val="00C915C8"/>
    <w:rsid w:val="00C91CE1"/>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B38"/>
    <w:rsid w:val="00CB566F"/>
    <w:rsid w:val="00CB6050"/>
    <w:rsid w:val="00CB62EB"/>
    <w:rsid w:val="00CB6E5B"/>
    <w:rsid w:val="00CB7D22"/>
    <w:rsid w:val="00CC04C9"/>
    <w:rsid w:val="00CC089E"/>
    <w:rsid w:val="00CC0A91"/>
    <w:rsid w:val="00CC3607"/>
    <w:rsid w:val="00CC38E7"/>
    <w:rsid w:val="00CC3B4C"/>
    <w:rsid w:val="00CC5822"/>
    <w:rsid w:val="00CC6342"/>
    <w:rsid w:val="00CC688B"/>
    <w:rsid w:val="00CD2488"/>
    <w:rsid w:val="00CD3B8E"/>
    <w:rsid w:val="00CD4E07"/>
    <w:rsid w:val="00CD6670"/>
    <w:rsid w:val="00CD677F"/>
    <w:rsid w:val="00CD70C6"/>
    <w:rsid w:val="00CE0181"/>
    <w:rsid w:val="00CE06A6"/>
    <w:rsid w:val="00CE1182"/>
    <w:rsid w:val="00CE11C6"/>
    <w:rsid w:val="00CE4663"/>
    <w:rsid w:val="00CE4B90"/>
    <w:rsid w:val="00CE6A99"/>
    <w:rsid w:val="00CE7124"/>
    <w:rsid w:val="00CF3B1D"/>
    <w:rsid w:val="00CF465B"/>
    <w:rsid w:val="00CF505C"/>
    <w:rsid w:val="00CF50ED"/>
    <w:rsid w:val="00CF6974"/>
    <w:rsid w:val="00CF79B4"/>
    <w:rsid w:val="00D007C5"/>
    <w:rsid w:val="00D01C07"/>
    <w:rsid w:val="00D02305"/>
    <w:rsid w:val="00D0315C"/>
    <w:rsid w:val="00D031E1"/>
    <w:rsid w:val="00D054B7"/>
    <w:rsid w:val="00D0608B"/>
    <w:rsid w:val="00D06873"/>
    <w:rsid w:val="00D06DF5"/>
    <w:rsid w:val="00D115C3"/>
    <w:rsid w:val="00D118DE"/>
    <w:rsid w:val="00D129E8"/>
    <w:rsid w:val="00D12B59"/>
    <w:rsid w:val="00D12D23"/>
    <w:rsid w:val="00D1334B"/>
    <w:rsid w:val="00D13AFD"/>
    <w:rsid w:val="00D144CF"/>
    <w:rsid w:val="00D1644F"/>
    <w:rsid w:val="00D16A83"/>
    <w:rsid w:val="00D21049"/>
    <w:rsid w:val="00D21648"/>
    <w:rsid w:val="00D21A1A"/>
    <w:rsid w:val="00D22E1D"/>
    <w:rsid w:val="00D23337"/>
    <w:rsid w:val="00D2624B"/>
    <w:rsid w:val="00D271C4"/>
    <w:rsid w:val="00D2732A"/>
    <w:rsid w:val="00D27AA6"/>
    <w:rsid w:val="00D31C1F"/>
    <w:rsid w:val="00D326C1"/>
    <w:rsid w:val="00D327D7"/>
    <w:rsid w:val="00D32BDB"/>
    <w:rsid w:val="00D37A0E"/>
    <w:rsid w:val="00D42450"/>
    <w:rsid w:val="00D42548"/>
    <w:rsid w:val="00D43EFD"/>
    <w:rsid w:val="00D4537B"/>
    <w:rsid w:val="00D45667"/>
    <w:rsid w:val="00D46DA5"/>
    <w:rsid w:val="00D4784A"/>
    <w:rsid w:val="00D500EC"/>
    <w:rsid w:val="00D5441C"/>
    <w:rsid w:val="00D56223"/>
    <w:rsid w:val="00D56573"/>
    <w:rsid w:val="00D57071"/>
    <w:rsid w:val="00D57D73"/>
    <w:rsid w:val="00D60771"/>
    <w:rsid w:val="00D62653"/>
    <w:rsid w:val="00D65051"/>
    <w:rsid w:val="00D65597"/>
    <w:rsid w:val="00D66209"/>
    <w:rsid w:val="00D66676"/>
    <w:rsid w:val="00D674DE"/>
    <w:rsid w:val="00D715E8"/>
    <w:rsid w:val="00D7318C"/>
    <w:rsid w:val="00D7418A"/>
    <w:rsid w:val="00D742C3"/>
    <w:rsid w:val="00D74602"/>
    <w:rsid w:val="00D7686E"/>
    <w:rsid w:val="00D770AD"/>
    <w:rsid w:val="00D77D50"/>
    <w:rsid w:val="00D80728"/>
    <w:rsid w:val="00D85739"/>
    <w:rsid w:val="00D87220"/>
    <w:rsid w:val="00D87354"/>
    <w:rsid w:val="00D906B9"/>
    <w:rsid w:val="00D90966"/>
    <w:rsid w:val="00D909E0"/>
    <w:rsid w:val="00D9154D"/>
    <w:rsid w:val="00D91B1D"/>
    <w:rsid w:val="00D91F88"/>
    <w:rsid w:val="00D9252B"/>
    <w:rsid w:val="00D94369"/>
    <w:rsid w:val="00D9438D"/>
    <w:rsid w:val="00D95D85"/>
    <w:rsid w:val="00D95DB6"/>
    <w:rsid w:val="00D95E6D"/>
    <w:rsid w:val="00D96C0E"/>
    <w:rsid w:val="00D9714B"/>
    <w:rsid w:val="00D97624"/>
    <w:rsid w:val="00D9773C"/>
    <w:rsid w:val="00DA080B"/>
    <w:rsid w:val="00DA27E6"/>
    <w:rsid w:val="00DA494B"/>
    <w:rsid w:val="00DA4AA8"/>
    <w:rsid w:val="00DA4D2E"/>
    <w:rsid w:val="00DA618E"/>
    <w:rsid w:val="00DA7573"/>
    <w:rsid w:val="00DB17E7"/>
    <w:rsid w:val="00DB2133"/>
    <w:rsid w:val="00DB2CB5"/>
    <w:rsid w:val="00DB3A67"/>
    <w:rsid w:val="00DB6F0C"/>
    <w:rsid w:val="00DC076D"/>
    <w:rsid w:val="00DC15F4"/>
    <w:rsid w:val="00DC19CA"/>
    <w:rsid w:val="00DC21DF"/>
    <w:rsid w:val="00DC28AA"/>
    <w:rsid w:val="00DC306B"/>
    <w:rsid w:val="00DC3835"/>
    <w:rsid w:val="00DC46DB"/>
    <w:rsid w:val="00DD2331"/>
    <w:rsid w:val="00DD2D73"/>
    <w:rsid w:val="00DD44A4"/>
    <w:rsid w:val="00DD6B84"/>
    <w:rsid w:val="00DD755A"/>
    <w:rsid w:val="00DE2E43"/>
    <w:rsid w:val="00DE37AB"/>
    <w:rsid w:val="00DE385A"/>
    <w:rsid w:val="00DE3E69"/>
    <w:rsid w:val="00DE4DE7"/>
    <w:rsid w:val="00DE798D"/>
    <w:rsid w:val="00DF3073"/>
    <w:rsid w:val="00DF3363"/>
    <w:rsid w:val="00DF40C8"/>
    <w:rsid w:val="00DF52BC"/>
    <w:rsid w:val="00DF52DB"/>
    <w:rsid w:val="00DF6B44"/>
    <w:rsid w:val="00DF790E"/>
    <w:rsid w:val="00DF7A02"/>
    <w:rsid w:val="00E00E3D"/>
    <w:rsid w:val="00E00FE8"/>
    <w:rsid w:val="00E01106"/>
    <w:rsid w:val="00E011F2"/>
    <w:rsid w:val="00E01AC7"/>
    <w:rsid w:val="00E0415E"/>
    <w:rsid w:val="00E053F6"/>
    <w:rsid w:val="00E055A7"/>
    <w:rsid w:val="00E05A11"/>
    <w:rsid w:val="00E065E3"/>
    <w:rsid w:val="00E1166A"/>
    <w:rsid w:val="00E11AB0"/>
    <w:rsid w:val="00E12C74"/>
    <w:rsid w:val="00E1380C"/>
    <w:rsid w:val="00E144D1"/>
    <w:rsid w:val="00E1518C"/>
    <w:rsid w:val="00E155B4"/>
    <w:rsid w:val="00E15704"/>
    <w:rsid w:val="00E15B07"/>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25D"/>
    <w:rsid w:val="00E40A08"/>
    <w:rsid w:val="00E40F71"/>
    <w:rsid w:val="00E41B76"/>
    <w:rsid w:val="00E41D3C"/>
    <w:rsid w:val="00E428CD"/>
    <w:rsid w:val="00E43408"/>
    <w:rsid w:val="00E45792"/>
    <w:rsid w:val="00E45DD5"/>
    <w:rsid w:val="00E466B6"/>
    <w:rsid w:val="00E469C7"/>
    <w:rsid w:val="00E52395"/>
    <w:rsid w:val="00E52A17"/>
    <w:rsid w:val="00E530A3"/>
    <w:rsid w:val="00E539EE"/>
    <w:rsid w:val="00E540DA"/>
    <w:rsid w:val="00E5478E"/>
    <w:rsid w:val="00E57520"/>
    <w:rsid w:val="00E57D93"/>
    <w:rsid w:val="00E62E40"/>
    <w:rsid w:val="00E65109"/>
    <w:rsid w:val="00E65111"/>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01DF"/>
    <w:rsid w:val="00E810E1"/>
    <w:rsid w:val="00E825C8"/>
    <w:rsid w:val="00E829E7"/>
    <w:rsid w:val="00E82E7A"/>
    <w:rsid w:val="00E830CB"/>
    <w:rsid w:val="00E84BE2"/>
    <w:rsid w:val="00E8675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B0"/>
    <w:rsid w:val="00EB6127"/>
    <w:rsid w:val="00EC07B8"/>
    <w:rsid w:val="00EC0F07"/>
    <w:rsid w:val="00EC12E7"/>
    <w:rsid w:val="00EC2786"/>
    <w:rsid w:val="00EC350D"/>
    <w:rsid w:val="00EC4B91"/>
    <w:rsid w:val="00EC544B"/>
    <w:rsid w:val="00EC599B"/>
    <w:rsid w:val="00EC6B26"/>
    <w:rsid w:val="00EC7E60"/>
    <w:rsid w:val="00EC7E69"/>
    <w:rsid w:val="00ED4163"/>
    <w:rsid w:val="00ED4E51"/>
    <w:rsid w:val="00ED5CA3"/>
    <w:rsid w:val="00ED5E80"/>
    <w:rsid w:val="00EE0BEE"/>
    <w:rsid w:val="00EE0BFE"/>
    <w:rsid w:val="00EE1444"/>
    <w:rsid w:val="00EE3E7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10569"/>
    <w:rsid w:val="00F11D0C"/>
    <w:rsid w:val="00F125EB"/>
    <w:rsid w:val="00F12D2B"/>
    <w:rsid w:val="00F12E17"/>
    <w:rsid w:val="00F137E0"/>
    <w:rsid w:val="00F1387B"/>
    <w:rsid w:val="00F15332"/>
    <w:rsid w:val="00F15973"/>
    <w:rsid w:val="00F160FA"/>
    <w:rsid w:val="00F168EB"/>
    <w:rsid w:val="00F173F3"/>
    <w:rsid w:val="00F20ADC"/>
    <w:rsid w:val="00F220BB"/>
    <w:rsid w:val="00F2234D"/>
    <w:rsid w:val="00F2351A"/>
    <w:rsid w:val="00F25EAA"/>
    <w:rsid w:val="00F30B1D"/>
    <w:rsid w:val="00F3367C"/>
    <w:rsid w:val="00F33982"/>
    <w:rsid w:val="00F35022"/>
    <w:rsid w:val="00F35A44"/>
    <w:rsid w:val="00F36477"/>
    <w:rsid w:val="00F3691F"/>
    <w:rsid w:val="00F36C15"/>
    <w:rsid w:val="00F4004D"/>
    <w:rsid w:val="00F41159"/>
    <w:rsid w:val="00F42112"/>
    <w:rsid w:val="00F42333"/>
    <w:rsid w:val="00F42427"/>
    <w:rsid w:val="00F46FAA"/>
    <w:rsid w:val="00F47316"/>
    <w:rsid w:val="00F474E8"/>
    <w:rsid w:val="00F47DD3"/>
    <w:rsid w:val="00F50AA4"/>
    <w:rsid w:val="00F51410"/>
    <w:rsid w:val="00F54944"/>
    <w:rsid w:val="00F54BBD"/>
    <w:rsid w:val="00F54DEE"/>
    <w:rsid w:val="00F552C4"/>
    <w:rsid w:val="00F55648"/>
    <w:rsid w:val="00F57444"/>
    <w:rsid w:val="00F57A1F"/>
    <w:rsid w:val="00F61F39"/>
    <w:rsid w:val="00F61FCE"/>
    <w:rsid w:val="00F63366"/>
    <w:rsid w:val="00F64014"/>
    <w:rsid w:val="00F6406A"/>
    <w:rsid w:val="00F64237"/>
    <w:rsid w:val="00F6641A"/>
    <w:rsid w:val="00F66CAD"/>
    <w:rsid w:val="00F67E3C"/>
    <w:rsid w:val="00F70864"/>
    <w:rsid w:val="00F72005"/>
    <w:rsid w:val="00F73B4E"/>
    <w:rsid w:val="00F74819"/>
    <w:rsid w:val="00F75F1A"/>
    <w:rsid w:val="00F7669D"/>
    <w:rsid w:val="00F767E3"/>
    <w:rsid w:val="00F76B64"/>
    <w:rsid w:val="00F76E6D"/>
    <w:rsid w:val="00F7717E"/>
    <w:rsid w:val="00F80548"/>
    <w:rsid w:val="00F80B1F"/>
    <w:rsid w:val="00F81B7E"/>
    <w:rsid w:val="00F82148"/>
    <w:rsid w:val="00F82844"/>
    <w:rsid w:val="00F828B6"/>
    <w:rsid w:val="00F82C27"/>
    <w:rsid w:val="00F85CBB"/>
    <w:rsid w:val="00F86DC6"/>
    <w:rsid w:val="00F872F3"/>
    <w:rsid w:val="00F87CED"/>
    <w:rsid w:val="00F87F66"/>
    <w:rsid w:val="00F90420"/>
    <w:rsid w:val="00F9130C"/>
    <w:rsid w:val="00F9392C"/>
    <w:rsid w:val="00F94356"/>
    <w:rsid w:val="00F94E98"/>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752F"/>
    <w:rsid w:val="00FC7D24"/>
    <w:rsid w:val="00FC7D3A"/>
    <w:rsid w:val="00FD13FC"/>
    <w:rsid w:val="00FD384E"/>
    <w:rsid w:val="00FD4716"/>
    <w:rsid w:val="00FD601D"/>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47C1D1"/>
  <w15:docId w15:val="{9392ECDB-E90E-42D5-92C3-8279D945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67"/>
    <w:rPr>
      <w:sz w:val="24"/>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jc w:val="both"/>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after="120"/>
    </w:pPr>
    <w:rPr>
      <w:b/>
      <w:caps/>
      <w:noProof/>
      <w:sz w:val="20"/>
    </w:rPr>
  </w:style>
  <w:style w:type="paragraph" w:styleId="TOC2">
    <w:name w:val="toc 2"/>
    <w:basedOn w:val="Normal"/>
    <w:next w:val="Normal"/>
    <w:autoRedefine/>
    <w:uiPriority w:val="39"/>
    <w:rsid w:val="000038CD"/>
    <w:pPr>
      <w:tabs>
        <w:tab w:val="left" w:pos="960"/>
        <w:tab w:val="right" w:leader="dot" w:pos="8296"/>
      </w:tabs>
      <w:ind w:left="993" w:hanging="766"/>
    </w:pPr>
    <w:rPr>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jc w:val="both"/>
    </w:pPr>
  </w:style>
  <w:style w:type="paragraph" w:customStyle="1" w:styleId="Text2">
    <w:name w:val="Text 2"/>
    <w:basedOn w:val="Normal"/>
    <w:pPr>
      <w:tabs>
        <w:tab w:val="left" w:pos="2161"/>
      </w:tabs>
      <w:spacing w:after="240"/>
      <w:ind w:left="1077"/>
      <w:jc w:val="both"/>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jc w:val="both"/>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rPr>
      <w:sz w:val="22"/>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after="120"/>
      <w:ind w:left="851" w:hanging="851"/>
      <w:jc w:val="both"/>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jc w:val="both"/>
    </w:pPr>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25"/>
      </w:numPr>
      <w:spacing w:after="240"/>
      <w:jc w:val="both"/>
    </w:pPr>
  </w:style>
  <w:style w:type="paragraph" w:customStyle="1" w:styleId="ListDash">
    <w:name w:val="List Dash"/>
    <w:basedOn w:val="Normal"/>
    <w:rsid w:val="00EA3CB8"/>
    <w:pPr>
      <w:numPr>
        <w:numId w:val="26"/>
      </w:numPr>
      <w:spacing w:after="240"/>
      <w:jc w:val="both"/>
    </w:pPr>
  </w:style>
  <w:style w:type="paragraph" w:styleId="ListBullet5">
    <w:name w:val="List Bullet 5"/>
    <w:basedOn w:val="Normal"/>
    <w:autoRedefine/>
    <w:rsid w:val="00AC1A6C"/>
    <w:pPr>
      <w:numPr>
        <w:numId w:val="30"/>
      </w:numPr>
      <w:spacing w:after="240"/>
      <w:jc w:val="both"/>
    </w:pPr>
  </w:style>
  <w:style w:type="character" w:customStyle="1" w:styleId="HeaderChar">
    <w:name w:val="Header Char"/>
    <w:link w:val="Header"/>
    <w:uiPriority w:val="99"/>
    <w:rsid w:val="00442FA6"/>
    <w:rPr>
      <w:sz w:val="24"/>
    </w:rPr>
  </w:style>
  <w:style w:type="paragraph" w:styleId="ListParagraph">
    <w:name w:val="List Paragraph"/>
    <w:basedOn w:val="Normal"/>
    <w:uiPriority w:val="34"/>
    <w:qFormat/>
    <w:rsid w:val="0015765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91D5-812C-46DB-AACD-4D54F1FF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8206</Characters>
  <Application>Microsoft Office Word</Application>
  <DocSecurity>0</DocSecurity>
  <Lines>170</Lines>
  <Paragraphs>81</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9503</CharactersWithSpaces>
  <SharedDoc>false</SharedDoc>
  <HLinks>
    <vt:vector size="72" baseType="variant">
      <vt:variant>
        <vt:i4>1179696</vt:i4>
      </vt:variant>
      <vt:variant>
        <vt:i4>68</vt:i4>
      </vt:variant>
      <vt:variant>
        <vt:i4>0</vt:i4>
      </vt:variant>
      <vt:variant>
        <vt:i4>5</vt:i4>
      </vt:variant>
      <vt:variant>
        <vt:lpwstr/>
      </vt:variant>
      <vt:variant>
        <vt:lpwstr>_Toc506468597</vt:lpwstr>
      </vt:variant>
      <vt:variant>
        <vt:i4>1179696</vt:i4>
      </vt:variant>
      <vt:variant>
        <vt:i4>62</vt:i4>
      </vt:variant>
      <vt:variant>
        <vt:i4>0</vt:i4>
      </vt:variant>
      <vt:variant>
        <vt:i4>5</vt:i4>
      </vt:variant>
      <vt:variant>
        <vt:lpwstr/>
      </vt:variant>
      <vt:variant>
        <vt:lpwstr>_Toc506468596</vt:lpwstr>
      </vt:variant>
      <vt:variant>
        <vt:i4>1179696</vt:i4>
      </vt:variant>
      <vt:variant>
        <vt:i4>56</vt:i4>
      </vt:variant>
      <vt:variant>
        <vt:i4>0</vt:i4>
      </vt:variant>
      <vt:variant>
        <vt:i4>5</vt:i4>
      </vt:variant>
      <vt:variant>
        <vt:lpwstr/>
      </vt:variant>
      <vt:variant>
        <vt:lpwstr>_Toc506468595</vt:lpwstr>
      </vt:variant>
      <vt:variant>
        <vt:i4>1179696</vt:i4>
      </vt:variant>
      <vt:variant>
        <vt:i4>50</vt:i4>
      </vt:variant>
      <vt:variant>
        <vt:i4>0</vt:i4>
      </vt:variant>
      <vt:variant>
        <vt:i4>5</vt:i4>
      </vt:variant>
      <vt:variant>
        <vt:lpwstr/>
      </vt:variant>
      <vt:variant>
        <vt:lpwstr>_Toc506468594</vt:lpwstr>
      </vt:variant>
      <vt:variant>
        <vt:i4>1179696</vt:i4>
      </vt:variant>
      <vt:variant>
        <vt:i4>44</vt:i4>
      </vt:variant>
      <vt:variant>
        <vt:i4>0</vt:i4>
      </vt:variant>
      <vt:variant>
        <vt:i4>5</vt:i4>
      </vt:variant>
      <vt:variant>
        <vt:lpwstr/>
      </vt:variant>
      <vt:variant>
        <vt:lpwstr>_Toc506468593</vt:lpwstr>
      </vt:variant>
      <vt:variant>
        <vt:i4>1179696</vt:i4>
      </vt:variant>
      <vt:variant>
        <vt:i4>38</vt:i4>
      </vt:variant>
      <vt:variant>
        <vt:i4>0</vt:i4>
      </vt:variant>
      <vt:variant>
        <vt:i4>5</vt:i4>
      </vt:variant>
      <vt:variant>
        <vt:lpwstr/>
      </vt:variant>
      <vt:variant>
        <vt:lpwstr>_Toc506468592</vt:lpwstr>
      </vt:variant>
      <vt:variant>
        <vt:i4>1179696</vt:i4>
      </vt:variant>
      <vt:variant>
        <vt:i4>32</vt:i4>
      </vt:variant>
      <vt:variant>
        <vt:i4>0</vt:i4>
      </vt:variant>
      <vt:variant>
        <vt:i4>5</vt:i4>
      </vt:variant>
      <vt:variant>
        <vt:lpwstr/>
      </vt:variant>
      <vt:variant>
        <vt:lpwstr>_Toc506468591</vt:lpwstr>
      </vt:variant>
      <vt:variant>
        <vt:i4>1179696</vt:i4>
      </vt:variant>
      <vt:variant>
        <vt:i4>26</vt:i4>
      </vt:variant>
      <vt:variant>
        <vt:i4>0</vt:i4>
      </vt:variant>
      <vt:variant>
        <vt:i4>5</vt:i4>
      </vt:variant>
      <vt:variant>
        <vt:lpwstr/>
      </vt:variant>
      <vt:variant>
        <vt:lpwstr>_Toc506468590</vt:lpwstr>
      </vt:variant>
      <vt:variant>
        <vt:i4>1245232</vt:i4>
      </vt:variant>
      <vt:variant>
        <vt:i4>20</vt:i4>
      </vt:variant>
      <vt:variant>
        <vt:i4>0</vt:i4>
      </vt:variant>
      <vt:variant>
        <vt:i4>5</vt:i4>
      </vt:variant>
      <vt:variant>
        <vt:lpwstr/>
      </vt:variant>
      <vt:variant>
        <vt:lpwstr>_Toc506468589</vt:lpwstr>
      </vt:variant>
      <vt:variant>
        <vt:i4>1245232</vt:i4>
      </vt:variant>
      <vt:variant>
        <vt:i4>14</vt:i4>
      </vt:variant>
      <vt:variant>
        <vt:i4>0</vt:i4>
      </vt:variant>
      <vt:variant>
        <vt:i4>5</vt:i4>
      </vt:variant>
      <vt:variant>
        <vt:lpwstr/>
      </vt:variant>
      <vt:variant>
        <vt:lpwstr>_Toc506468588</vt:lpwstr>
      </vt:variant>
      <vt:variant>
        <vt:i4>1245232</vt:i4>
      </vt:variant>
      <vt:variant>
        <vt:i4>8</vt:i4>
      </vt:variant>
      <vt:variant>
        <vt:i4>0</vt:i4>
      </vt:variant>
      <vt:variant>
        <vt:i4>5</vt:i4>
      </vt:variant>
      <vt:variant>
        <vt:lpwstr/>
      </vt:variant>
      <vt:variant>
        <vt:lpwstr>_Toc506468587</vt:lpwstr>
      </vt:variant>
      <vt:variant>
        <vt:i4>1245232</vt:i4>
      </vt:variant>
      <vt:variant>
        <vt:i4>2</vt:i4>
      </vt:variant>
      <vt:variant>
        <vt:i4>0</vt:i4>
      </vt:variant>
      <vt:variant>
        <vt:i4>5</vt:i4>
      </vt:variant>
      <vt:variant>
        <vt:lpwstr/>
      </vt:variant>
      <vt:variant>
        <vt:lpwstr>_Toc506468586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GIKAS Triantafyllia (DEVCO)</cp:lastModifiedBy>
  <cp:revision>2</cp:revision>
  <cp:lastPrinted>2018-07-25T08:16:00Z</cp:lastPrinted>
  <dcterms:created xsi:type="dcterms:W3CDTF">2021-01-11T16:16:00Z</dcterms:created>
  <dcterms:modified xsi:type="dcterms:W3CDTF">2021-01-11T16:16:00Z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