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14" w:rsidRPr="002F11A5" w:rsidRDefault="00EA0E14" w:rsidP="00EA0E14">
      <w:pPr>
        <w:tabs>
          <w:tab w:val="left" w:pos="1276"/>
        </w:tabs>
        <w:jc w:val="center"/>
        <w:rPr>
          <w:b/>
          <w:sz w:val="22"/>
          <w:szCs w:val="22"/>
        </w:rPr>
      </w:pPr>
      <w:r w:rsidRPr="002F11A5">
        <w:rPr>
          <w:b/>
          <w:sz w:val="22"/>
          <w:szCs w:val="22"/>
        </w:rPr>
        <w:t>SPECIFIC</w:t>
      </w:r>
      <w:r>
        <w:rPr>
          <w:b/>
          <w:sz w:val="22"/>
          <w:szCs w:val="22"/>
        </w:rPr>
        <w:t xml:space="preserve"> GLOBAL PRICE </w:t>
      </w:r>
      <w:r w:rsidRPr="002F11A5">
        <w:rPr>
          <w:b/>
          <w:sz w:val="22"/>
          <w:szCs w:val="22"/>
        </w:rPr>
        <w:t xml:space="preserve">TECHNICAL EVALUATION </w:t>
      </w:r>
      <w:r>
        <w:rPr>
          <w:b/>
          <w:sz w:val="22"/>
          <w:szCs w:val="22"/>
        </w:rPr>
        <w:t>GRID</w:t>
      </w:r>
    </w:p>
    <w:p w:rsidR="00EA0E14" w:rsidRPr="002F11A5" w:rsidRDefault="00EA0E14" w:rsidP="00EA0E14">
      <w:pPr>
        <w:tabs>
          <w:tab w:val="left" w:pos="1276"/>
        </w:tabs>
        <w:jc w:val="center"/>
        <w:rPr>
          <w:b/>
          <w:sz w:val="22"/>
          <w:szCs w:val="22"/>
        </w:rPr>
      </w:pPr>
      <w:r w:rsidRPr="002F11A5">
        <w:rPr>
          <w:b/>
          <w:sz w:val="22"/>
          <w:szCs w:val="22"/>
        </w:rPr>
        <w:t xml:space="preserve">Request for Services n° </w:t>
      </w:r>
      <w:r w:rsidR="00E16D47">
        <w:rPr>
          <w:b/>
          <w:sz w:val="22"/>
          <w:szCs w:val="22"/>
        </w:rPr>
        <w:t>EVA-2020-[</w:t>
      </w:r>
      <w:r w:rsidR="00E16D47" w:rsidRPr="00E16D47">
        <w:rPr>
          <w:b/>
          <w:sz w:val="22"/>
          <w:szCs w:val="22"/>
          <w:highlight w:val="yellow"/>
        </w:rPr>
        <w:t>include OPSYS number</w:t>
      </w:r>
      <w:r w:rsidR="00E16D47">
        <w:rPr>
          <w:b/>
          <w:sz w:val="22"/>
          <w:szCs w:val="22"/>
        </w:rPr>
        <w:t>]</w:t>
      </w:r>
    </w:p>
    <w:p w:rsidR="00EA0E14" w:rsidRPr="002F11A5" w:rsidRDefault="00EA0E14" w:rsidP="00EA0E14">
      <w:pPr>
        <w:tabs>
          <w:tab w:val="left" w:pos="1276"/>
        </w:tabs>
        <w:rPr>
          <w:b/>
          <w:sz w:val="22"/>
          <w:szCs w:val="22"/>
        </w:rPr>
      </w:pPr>
    </w:p>
    <w:p w:rsidR="00EA0E14" w:rsidRDefault="00EA0E14" w:rsidP="00EA0E14">
      <w:pPr>
        <w:tabs>
          <w:tab w:val="left" w:pos="1276"/>
        </w:tabs>
        <w:jc w:val="center"/>
        <w:rPr>
          <w:b/>
          <w:sz w:val="22"/>
          <w:szCs w:val="22"/>
        </w:rPr>
      </w:pPr>
      <w:r w:rsidRPr="009B397F">
        <w:rPr>
          <w:b/>
          <w:sz w:val="22"/>
          <w:szCs w:val="22"/>
        </w:rPr>
        <w:t xml:space="preserve">FWC </w:t>
      </w:r>
      <w:r w:rsidR="000E63BE">
        <w:rPr>
          <w:b/>
          <w:sz w:val="22"/>
          <w:szCs w:val="22"/>
        </w:rPr>
        <w:t>STRATEGIC EVALUATIONS OF THE EUROPEAN UNION EXTERNAL ACTION</w:t>
      </w:r>
      <w:r w:rsidRPr="009B397F" w:rsidDel="009B397F">
        <w:rPr>
          <w:b/>
          <w:sz w:val="22"/>
          <w:szCs w:val="22"/>
        </w:rPr>
        <w:t xml:space="preserve"> </w:t>
      </w:r>
      <w:r>
        <w:rPr>
          <w:b/>
          <w:sz w:val="22"/>
          <w:szCs w:val="22"/>
        </w:rPr>
        <w:t>–</w:t>
      </w:r>
      <w:r w:rsidRPr="002F11A5">
        <w:rPr>
          <w:b/>
          <w:sz w:val="22"/>
          <w:szCs w:val="22"/>
        </w:rPr>
        <w:t xml:space="preserve"> </w:t>
      </w:r>
      <w:r w:rsidR="000E63BE">
        <w:rPr>
          <w:b/>
          <w:sz w:val="22"/>
          <w:szCs w:val="22"/>
        </w:rPr>
        <w:t>EVA 2020</w:t>
      </w:r>
    </w:p>
    <w:p w:rsidR="00EA0E14" w:rsidRPr="00090A09" w:rsidRDefault="00EA0E14" w:rsidP="00EA0E14">
      <w:pPr>
        <w:tabs>
          <w:tab w:val="left" w:pos="1276"/>
        </w:tabs>
        <w:jc w:val="center"/>
        <w:rPr>
          <w:b/>
          <w:sz w:val="22"/>
          <w:szCs w:val="22"/>
          <w:lang w:val="nn-NO"/>
        </w:rPr>
      </w:pPr>
      <w:r w:rsidRPr="00E16D47">
        <w:rPr>
          <w:b/>
          <w:sz w:val="22"/>
          <w:szCs w:val="22"/>
          <w:highlight w:val="yellow"/>
          <w:lang w:val="nn-NO"/>
        </w:rPr>
        <w:t>&lt;Title&gt;</w:t>
      </w:r>
    </w:p>
    <w:p w:rsidR="00EA0E14" w:rsidRPr="00090A09" w:rsidRDefault="00EA0E14" w:rsidP="00EA0E14">
      <w:pPr>
        <w:jc w:val="center"/>
        <w:rPr>
          <w:b/>
          <w:sz w:val="22"/>
          <w:szCs w:val="22"/>
          <w:lang w:val="nn-NO"/>
        </w:rPr>
      </w:pPr>
      <w:r w:rsidRPr="00090A09">
        <w:rPr>
          <w:b/>
          <w:sz w:val="22"/>
          <w:szCs w:val="22"/>
          <w:lang w:val="nn-NO"/>
        </w:rPr>
        <w:t>EuropeAid/1</w:t>
      </w:r>
      <w:r w:rsidR="000E63BE">
        <w:rPr>
          <w:b/>
          <w:sz w:val="22"/>
          <w:szCs w:val="22"/>
          <w:lang w:val="nn-NO"/>
        </w:rPr>
        <w:t>40122</w:t>
      </w:r>
      <w:r w:rsidRPr="00090A09">
        <w:rPr>
          <w:b/>
          <w:sz w:val="22"/>
          <w:szCs w:val="22"/>
          <w:lang w:val="nn-NO"/>
        </w:rPr>
        <w:t>/DH/SER/Multi</w:t>
      </w:r>
    </w:p>
    <w:p w:rsidR="00EA0E14" w:rsidRPr="002F11A5" w:rsidRDefault="00EA0E14" w:rsidP="00EA0E14">
      <w:pPr>
        <w:jc w:val="center"/>
        <w:rPr>
          <w:b/>
          <w:sz w:val="22"/>
          <w:szCs w:val="22"/>
        </w:rPr>
      </w:pPr>
      <w:r w:rsidRPr="00E16D47">
        <w:rPr>
          <w:b/>
          <w:sz w:val="22"/>
          <w:szCs w:val="22"/>
          <w:highlight w:val="yellow"/>
        </w:rPr>
        <w:t xml:space="preserve">(to be modified and/or completed by the Contracting Authority </w:t>
      </w:r>
      <w:r w:rsidRPr="00E16D47">
        <w:rPr>
          <w:b/>
          <w:sz w:val="22"/>
          <w:szCs w:val="22"/>
          <w:highlight w:val="yellow"/>
        </w:rPr>
        <w:br/>
        <w:t>as part of the Request for Services)</w:t>
      </w:r>
    </w:p>
    <w:p w:rsidR="00EA0E14" w:rsidRPr="008911D9" w:rsidRDefault="00EA0E14" w:rsidP="00EA0E14">
      <w:pPr>
        <w:rPr>
          <w:b/>
          <w:sz w:val="22"/>
          <w:szCs w:val="22"/>
        </w:rPr>
      </w:pPr>
      <w:r w:rsidRPr="0046448B">
        <w:rPr>
          <w:b/>
        </w:rPr>
        <w:br/>
      </w:r>
      <w:r w:rsidRPr="008911D9">
        <w:rPr>
          <w:b/>
          <w:sz w:val="22"/>
          <w:szCs w:val="22"/>
        </w:rPr>
        <w:t>1.</w:t>
      </w:r>
      <w:r w:rsidRPr="008911D9">
        <w:rPr>
          <w:b/>
          <w:sz w:val="22"/>
          <w:szCs w:val="22"/>
        </w:rPr>
        <w:tab/>
        <w:t>TECHNICAL EVALUATION CRITERIA</w:t>
      </w:r>
    </w:p>
    <w:p w:rsidR="00EA0E14" w:rsidRPr="002F11A5" w:rsidRDefault="00EA0E14" w:rsidP="00EA0E14">
      <w:pPr>
        <w:jc w:val="both"/>
        <w:rPr>
          <w:sz w:val="22"/>
          <w:szCs w:val="22"/>
        </w:rPr>
      </w:pPr>
    </w:p>
    <w:p w:rsidR="00EA0E14" w:rsidRPr="002F11A5" w:rsidRDefault="00EA0E14" w:rsidP="00EA0E14">
      <w:pPr>
        <w:autoSpaceDE w:val="0"/>
        <w:autoSpaceDN w:val="0"/>
        <w:adjustRightInd w:val="0"/>
        <w:jc w:val="both"/>
        <w:rPr>
          <w:sz w:val="22"/>
          <w:szCs w:val="22"/>
          <w:lang w:val="en-US"/>
        </w:rPr>
      </w:pPr>
      <w:r w:rsidRPr="002F11A5">
        <w:rPr>
          <w:sz w:val="22"/>
          <w:szCs w:val="22"/>
          <w:lang w:val="en-US" w:eastAsia="fr-FR"/>
        </w:rPr>
        <w:t xml:space="preserve">The Contracting authority selects the offer with the best value for money using a 80/20 weighing between technical quality and price. Technical quality is evaluated on the basis of the </w:t>
      </w:r>
      <w:r>
        <w:rPr>
          <w:sz w:val="22"/>
          <w:szCs w:val="22"/>
          <w:lang w:val="en-US" w:eastAsia="fr-FR"/>
        </w:rPr>
        <w:t>f</w:t>
      </w:r>
      <w:r w:rsidR="008911D9">
        <w:rPr>
          <w:sz w:val="22"/>
          <w:szCs w:val="22"/>
          <w:lang w:val="en-US" w:eastAsia="fr-FR"/>
        </w:rPr>
        <w:t>ollowing grid:</w:t>
      </w:r>
    </w:p>
    <w:p w:rsidR="00EA0E14" w:rsidRPr="002F11A5" w:rsidRDefault="00EA0E14" w:rsidP="00EA0E14">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2"/>
        <w:gridCol w:w="1559"/>
        <w:gridCol w:w="1541"/>
      </w:tblGrid>
      <w:tr w:rsidR="00EA0E14" w:rsidRPr="008A2821" w:rsidTr="00935938">
        <w:trPr>
          <w:cantSplit/>
          <w:jc w:val="center"/>
        </w:trPr>
        <w:tc>
          <w:tcPr>
            <w:tcW w:w="5652" w:type="dxa"/>
            <w:tcBorders>
              <w:top w:val="single" w:sz="4" w:space="0" w:color="auto"/>
              <w:left w:val="single" w:sz="4" w:space="0" w:color="auto"/>
              <w:bottom w:val="single" w:sz="4" w:space="0" w:color="auto"/>
              <w:right w:val="single" w:sz="4" w:space="0" w:color="auto"/>
            </w:tcBorders>
            <w:shd w:val="clear" w:color="auto" w:fill="D9D9D9"/>
          </w:tcPr>
          <w:p w:rsidR="00EA0E14" w:rsidRDefault="008A2821">
            <w:pPr>
              <w:rPr>
                <w:b/>
                <w:sz w:val="22"/>
                <w:szCs w:val="22"/>
              </w:rPr>
            </w:pPr>
            <w:r>
              <w:rPr>
                <w:b/>
                <w:sz w:val="22"/>
                <w:szCs w:val="22"/>
              </w:rPr>
              <w:t>AWARD CRITERIA</w:t>
            </w:r>
          </w:p>
          <w:p w:rsidR="008A2821" w:rsidRPr="002F11A5" w:rsidRDefault="008A2821">
            <w:pP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A0E14" w:rsidRPr="006743D1" w:rsidRDefault="00EA0E14">
            <w:pPr>
              <w:jc w:val="center"/>
              <w:rPr>
                <w:b/>
                <w:sz w:val="22"/>
                <w:szCs w:val="22"/>
              </w:rPr>
            </w:pPr>
            <w:r w:rsidRPr="006743D1">
              <w:rPr>
                <w:b/>
                <w:sz w:val="22"/>
                <w:szCs w:val="22"/>
              </w:rPr>
              <w:t>Maximum</w:t>
            </w:r>
            <w:r w:rsidR="008A2821">
              <w:rPr>
                <w:b/>
                <w:sz w:val="22"/>
                <w:szCs w:val="22"/>
              </w:rPr>
              <w:t xml:space="preserve"> points</w:t>
            </w:r>
            <w:r w:rsidRPr="006743D1">
              <w:rPr>
                <w:b/>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D9D9D9"/>
          </w:tcPr>
          <w:p w:rsidR="00EA0E14" w:rsidRPr="006743D1" w:rsidRDefault="008A2821" w:rsidP="008A2821">
            <w:pPr>
              <w:jc w:val="center"/>
              <w:rPr>
                <w:b/>
                <w:sz w:val="22"/>
                <w:szCs w:val="22"/>
              </w:rPr>
            </w:pPr>
            <w:r>
              <w:rPr>
                <w:b/>
                <w:sz w:val="22"/>
                <w:szCs w:val="22"/>
              </w:rPr>
              <w:t>Minimum threshold for each criterion</w:t>
            </w:r>
          </w:p>
        </w:tc>
      </w:tr>
      <w:tr w:rsidR="00EA0E14" w:rsidRPr="00337D73" w:rsidTr="00935938">
        <w:trPr>
          <w:cantSplit/>
          <w:jc w:val="center"/>
        </w:trPr>
        <w:tc>
          <w:tcPr>
            <w:tcW w:w="5652" w:type="dxa"/>
            <w:tcBorders>
              <w:top w:val="single" w:sz="4" w:space="0" w:color="auto"/>
              <w:left w:val="single" w:sz="4" w:space="0" w:color="auto"/>
              <w:bottom w:val="single" w:sz="4" w:space="0" w:color="auto"/>
              <w:right w:val="single" w:sz="4" w:space="0" w:color="auto"/>
            </w:tcBorders>
          </w:tcPr>
          <w:p w:rsidR="00EA0E14" w:rsidRPr="00337D73" w:rsidRDefault="00EA0E14" w:rsidP="00A331F7">
            <w:pPr>
              <w:numPr>
                <w:ilvl w:val="0"/>
                <w:numId w:val="16"/>
              </w:numPr>
              <w:jc w:val="both"/>
              <w:rPr>
                <w:sz w:val="22"/>
                <w:szCs w:val="22"/>
              </w:rPr>
            </w:pPr>
            <w:r w:rsidRPr="00337D73">
              <w:rPr>
                <w:b/>
                <w:sz w:val="22"/>
                <w:szCs w:val="22"/>
              </w:rPr>
              <w:t>Rationale</w:t>
            </w:r>
            <w:r w:rsidR="008A2821" w:rsidRPr="00337D73">
              <w:rPr>
                <w:sz w:val="22"/>
                <w:szCs w:val="22"/>
              </w:rPr>
              <w:t xml:space="preserve">, </w:t>
            </w:r>
            <w:r w:rsidR="00A51EDD">
              <w:rPr>
                <w:sz w:val="22"/>
                <w:szCs w:val="22"/>
              </w:rPr>
              <w:t xml:space="preserve">including </w:t>
            </w:r>
            <w:proofErr w:type="spellStart"/>
            <w:r w:rsidR="00A51EDD" w:rsidRPr="00A51EDD">
              <w:rPr>
                <w:i/>
                <w:sz w:val="22"/>
                <w:szCs w:val="22"/>
              </w:rPr>
              <w:t>i.a</w:t>
            </w:r>
            <w:proofErr w:type="spellEnd"/>
            <w:r w:rsidR="00A51EDD" w:rsidRPr="00A51EDD">
              <w:rPr>
                <w:i/>
                <w:sz w:val="22"/>
                <w:szCs w:val="22"/>
              </w:rPr>
              <w:t>.</w:t>
            </w:r>
            <w:r w:rsidR="008A2821" w:rsidRPr="00337D73">
              <w:rPr>
                <w:sz w:val="22"/>
                <w:szCs w:val="22"/>
              </w:rPr>
              <w:t>:</w:t>
            </w:r>
          </w:p>
          <w:p w:rsidR="008911D9" w:rsidRPr="00755A70" w:rsidRDefault="008911D9" w:rsidP="00A331F7">
            <w:pPr>
              <w:numPr>
                <w:ilvl w:val="0"/>
                <w:numId w:val="15"/>
              </w:numPr>
              <w:jc w:val="both"/>
              <w:rPr>
                <w:sz w:val="22"/>
                <w:szCs w:val="22"/>
                <w:highlight w:val="yellow"/>
              </w:rPr>
            </w:pPr>
            <w:r w:rsidRPr="00755A70">
              <w:rPr>
                <w:sz w:val="22"/>
                <w:szCs w:val="22"/>
                <w:highlight w:val="yellow"/>
              </w:rPr>
              <w:t>U</w:t>
            </w:r>
            <w:r w:rsidR="008A2821" w:rsidRPr="00755A70">
              <w:rPr>
                <w:sz w:val="22"/>
                <w:szCs w:val="22"/>
                <w:highlight w:val="yellow"/>
              </w:rPr>
              <w:t>nderstanding of the assignment</w:t>
            </w:r>
            <w:r w:rsidRPr="00755A70">
              <w:rPr>
                <w:sz w:val="22"/>
                <w:szCs w:val="22"/>
                <w:highlight w:val="yellow"/>
              </w:rPr>
              <w:t>: we expect a critical look of the framework contractor on the terms of reference, fit for purpose and clearly connected with the rest of the offer;</w:t>
            </w:r>
            <w:r w:rsidR="00B4645E" w:rsidRPr="00755A70">
              <w:rPr>
                <w:sz w:val="22"/>
                <w:szCs w:val="22"/>
                <w:highlight w:val="yellow"/>
              </w:rPr>
              <w:t xml:space="preserve"> including risks and mitigations;</w:t>
            </w:r>
          </w:p>
          <w:p w:rsidR="008911D9" w:rsidRPr="00755A70" w:rsidRDefault="008911D9" w:rsidP="008911D9">
            <w:pPr>
              <w:numPr>
                <w:ilvl w:val="0"/>
                <w:numId w:val="15"/>
              </w:numPr>
              <w:jc w:val="both"/>
              <w:rPr>
                <w:b/>
                <w:sz w:val="22"/>
                <w:szCs w:val="22"/>
                <w:highlight w:val="yellow"/>
              </w:rPr>
            </w:pPr>
            <w:r w:rsidRPr="00755A70">
              <w:rPr>
                <w:sz w:val="22"/>
                <w:szCs w:val="22"/>
                <w:highlight w:val="yellow"/>
              </w:rPr>
              <w:t>The understanding extends to the context and scope of the evaluation, to</w:t>
            </w:r>
            <w:r w:rsidR="008A2821" w:rsidRPr="00755A70">
              <w:rPr>
                <w:sz w:val="22"/>
                <w:szCs w:val="22"/>
                <w:highlight w:val="yellow"/>
              </w:rPr>
              <w:t xml:space="preserve"> the need for EU action, </w:t>
            </w:r>
            <w:r w:rsidRPr="00755A70">
              <w:rPr>
                <w:sz w:val="22"/>
                <w:szCs w:val="22"/>
                <w:highlight w:val="yellow"/>
              </w:rPr>
              <w:t>to</w:t>
            </w:r>
            <w:r w:rsidR="008A2821" w:rsidRPr="00755A70">
              <w:rPr>
                <w:sz w:val="22"/>
                <w:szCs w:val="22"/>
                <w:highlight w:val="yellow"/>
              </w:rPr>
              <w:t xml:space="preserve"> the intervention logic and expected impacts</w:t>
            </w:r>
            <w:r w:rsidRPr="00755A70">
              <w:rPr>
                <w:sz w:val="22"/>
                <w:szCs w:val="22"/>
                <w:highlight w:val="yellow"/>
              </w:rPr>
              <w:t xml:space="preserve"> of the evaluand.</w:t>
            </w:r>
          </w:p>
          <w:p w:rsidR="008A2821" w:rsidRPr="00337D73" w:rsidRDefault="008A2821" w:rsidP="00BD7576">
            <w:pPr>
              <w:ind w:left="72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A0E14" w:rsidRPr="00337D73" w:rsidRDefault="008A2821">
            <w:pPr>
              <w:jc w:val="center"/>
              <w:rPr>
                <w:b/>
                <w:sz w:val="22"/>
                <w:szCs w:val="22"/>
              </w:rPr>
            </w:pPr>
            <w:r w:rsidRPr="00337D73">
              <w:rPr>
                <w:b/>
                <w:sz w:val="22"/>
                <w:szCs w:val="22"/>
              </w:rPr>
              <w:t>15</w:t>
            </w:r>
          </w:p>
        </w:tc>
        <w:tc>
          <w:tcPr>
            <w:tcW w:w="1541" w:type="dxa"/>
            <w:tcBorders>
              <w:top w:val="single" w:sz="4" w:space="0" w:color="auto"/>
              <w:left w:val="single" w:sz="4" w:space="0" w:color="auto"/>
              <w:bottom w:val="single" w:sz="4" w:space="0" w:color="auto"/>
              <w:right w:val="single" w:sz="4" w:space="0" w:color="auto"/>
            </w:tcBorders>
          </w:tcPr>
          <w:p w:rsidR="00EA0E14" w:rsidRPr="00337D73" w:rsidRDefault="008A2821">
            <w:pPr>
              <w:jc w:val="center"/>
              <w:rPr>
                <w:b/>
                <w:sz w:val="22"/>
                <w:szCs w:val="22"/>
              </w:rPr>
            </w:pPr>
            <w:r w:rsidRPr="00337D73">
              <w:rPr>
                <w:b/>
                <w:sz w:val="22"/>
                <w:szCs w:val="22"/>
              </w:rPr>
              <w:t>8</w:t>
            </w:r>
          </w:p>
        </w:tc>
      </w:tr>
      <w:tr w:rsidR="00EA0E14" w:rsidRPr="00337D73" w:rsidTr="00935938">
        <w:trPr>
          <w:cantSplit/>
          <w:jc w:val="center"/>
        </w:trPr>
        <w:tc>
          <w:tcPr>
            <w:tcW w:w="5652" w:type="dxa"/>
            <w:tcBorders>
              <w:top w:val="single" w:sz="4" w:space="0" w:color="auto"/>
              <w:left w:val="single" w:sz="4" w:space="0" w:color="auto"/>
              <w:bottom w:val="single" w:sz="4" w:space="0" w:color="auto"/>
              <w:right w:val="single" w:sz="4" w:space="0" w:color="auto"/>
            </w:tcBorders>
          </w:tcPr>
          <w:p w:rsidR="008A2821" w:rsidRPr="00337D73" w:rsidRDefault="00EA0E14" w:rsidP="00A331F7">
            <w:pPr>
              <w:numPr>
                <w:ilvl w:val="0"/>
                <w:numId w:val="16"/>
              </w:numPr>
              <w:jc w:val="both"/>
              <w:rPr>
                <w:b/>
                <w:sz w:val="22"/>
                <w:szCs w:val="22"/>
              </w:rPr>
            </w:pPr>
            <w:r w:rsidRPr="00337D73">
              <w:rPr>
                <w:b/>
                <w:sz w:val="22"/>
                <w:szCs w:val="22"/>
              </w:rPr>
              <w:t>Strategy</w:t>
            </w:r>
            <w:r w:rsidR="008A2821" w:rsidRPr="00337D73">
              <w:rPr>
                <w:sz w:val="22"/>
                <w:szCs w:val="22"/>
              </w:rPr>
              <w:t>, including</w:t>
            </w:r>
            <w:r w:rsidR="00A51EDD">
              <w:rPr>
                <w:sz w:val="22"/>
                <w:szCs w:val="22"/>
              </w:rPr>
              <w:t xml:space="preserve"> </w:t>
            </w:r>
            <w:proofErr w:type="spellStart"/>
            <w:r w:rsidR="00A51EDD" w:rsidRPr="00A51EDD">
              <w:rPr>
                <w:i/>
                <w:sz w:val="22"/>
                <w:szCs w:val="22"/>
              </w:rPr>
              <w:t>i.a</w:t>
            </w:r>
            <w:proofErr w:type="spellEnd"/>
            <w:r w:rsidR="00A51EDD" w:rsidRPr="00A51EDD">
              <w:rPr>
                <w:i/>
                <w:sz w:val="22"/>
                <w:szCs w:val="22"/>
              </w:rPr>
              <w:t>.</w:t>
            </w:r>
            <w:r w:rsidR="008A2821" w:rsidRPr="00337D73">
              <w:rPr>
                <w:sz w:val="22"/>
                <w:szCs w:val="22"/>
              </w:rPr>
              <w:t>:</w:t>
            </w:r>
          </w:p>
          <w:p w:rsidR="008A2821" w:rsidRPr="00755A70" w:rsidRDefault="008A2821" w:rsidP="00A331F7">
            <w:pPr>
              <w:numPr>
                <w:ilvl w:val="0"/>
                <w:numId w:val="14"/>
              </w:numPr>
              <w:jc w:val="both"/>
              <w:rPr>
                <w:sz w:val="22"/>
                <w:szCs w:val="22"/>
                <w:highlight w:val="yellow"/>
              </w:rPr>
            </w:pPr>
            <w:r w:rsidRPr="00755A70">
              <w:rPr>
                <w:sz w:val="22"/>
                <w:szCs w:val="22"/>
                <w:highlight w:val="yellow"/>
              </w:rPr>
              <w:t>Methodology</w:t>
            </w:r>
            <w:r w:rsidR="00A331F7" w:rsidRPr="00755A70">
              <w:rPr>
                <w:sz w:val="22"/>
                <w:szCs w:val="22"/>
                <w:highlight w:val="yellow"/>
              </w:rPr>
              <w:t xml:space="preserve"> for producing robust evidence</w:t>
            </w:r>
            <w:r w:rsidR="009D52BE" w:rsidRPr="00755A70">
              <w:rPr>
                <w:sz w:val="22"/>
                <w:szCs w:val="22"/>
                <w:highlight w:val="yellow"/>
              </w:rPr>
              <w:t xml:space="preserve"> and conclusions</w:t>
            </w:r>
            <w:r w:rsidR="00B82D6A" w:rsidRPr="00755A70">
              <w:rPr>
                <w:sz w:val="22"/>
                <w:szCs w:val="22"/>
                <w:highlight w:val="yellow"/>
              </w:rPr>
              <w:t xml:space="preserve">, </w:t>
            </w:r>
            <w:r w:rsidR="00B4645E" w:rsidRPr="00755A70">
              <w:rPr>
                <w:sz w:val="22"/>
                <w:szCs w:val="22"/>
                <w:highlight w:val="yellow"/>
              </w:rPr>
              <w:t>including relevant ethical considerations;</w:t>
            </w:r>
          </w:p>
          <w:p w:rsidR="008A2821" w:rsidRPr="00755A70" w:rsidRDefault="008A2821" w:rsidP="00A331F7">
            <w:pPr>
              <w:numPr>
                <w:ilvl w:val="0"/>
                <w:numId w:val="14"/>
              </w:numPr>
              <w:jc w:val="both"/>
              <w:rPr>
                <w:sz w:val="22"/>
                <w:szCs w:val="22"/>
                <w:highlight w:val="yellow"/>
              </w:rPr>
            </w:pPr>
            <w:r w:rsidRPr="00755A70">
              <w:rPr>
                <w:sz w:val="22"/>
                <w:szCs w:val="22"/>
                <w:highlight w:val="yellow"/>
              </w:rPr>
              <w:t xml:space="preserve">Organisation of the work, including </w:t>
            </w:r>
            <w:r w:rsidR="00337D73" w:rsidRPr="00755A70">
              <w:rPr>
                <w:sz w:val="22"/>
                <w:szCs w:val="22"/>
                <w:highlight w:val="yellow"/>
              </w:rPr>
              <w:t xml:space="preserve">suitable work plan showing the </w:t>
            </w:r>
            <w:r w:rsidRPr="00755A70">
              <w:rPr>
                <w:sz w:val="22"/>
                <w:szCs w:val="22"/>
                <w:highlight w:val="yellow"/>
              </w:rPr>
              <w:t>allocat</w:t>
            </w:r>
            <w:r w:rsidR="00BD7576" w:rsidRPr="00755A70">
              <w:rPr>
                <w:sz w:val="22"/>
                <w:szCs w:val="22"/>
                <w:highlight w:val="yellow"/>
              </w:rPr>
              <w:t>ion of resources</w:t>
            </w:r>
            <w:r w:rsidR="00337D73" w:rsidRPr="00755A70">
              <w:rPr>
                <w:sz w:val="22"/>
                <w:szCs w:val="22"/>
                <w:highlight w:val="yellow"/>
              </w:rPr>
              <w:t xml:space="preserve"> to activities/tasks</w:t>
            </w:r>
            <w:r w:rsidR="00BD7576" w:rsidRPr="00755A70">
              <w:rPr>
                <w:sz w:val="22"/>
                <w:szCs w:val="22"/>
                <w:highlight w:val="yellow"/>
              </w:rPr>
              <w:t>,</w:t>
            </w:r>
            <w:r w:rsidRPr="00755A70">
              <w:rPr>
                <w:sz w:val="22"/>
                <w:szCs w:val="22"/>
                <w:highlight w:val="yellow"/>
              </w:rPr>
              <w:t xml:space="preserve"> timetable</w:t>
            </w:r>
            <w:r w:rsidR="00337D73" w:rsidRPr="00755A70">
              <w:rPr>
                <w:sz w:val="22"/>
                <w:szCs w:val="22"/>
                <w:highlight w:val="yellow"/>
              </w:rPr>
              <w:t xml:space="preserve"> showing the sequencing and duration</w:t>
            </w:r>
            <w:r w:rsidRPr="00755A70">
              <w:rPr>
                <w:sz w:val="22"/>
                <w:szCs w:val="22"/>
                <w:highlight w:val="yellow"/>
              </w:rPr>
              <w:t xml:space="preserve"> of activities/tasks</w:t>
            </w:r>
            <w:r w:rsidR="00BD7576" w:rsidRPr="00755A70">
              <w:rPr>
                <w:sz w:val="22"/>
                <w:szCs w:val="22"/>
                <w:highlight w:val="yellow"/>
              </w:rPr>
              <w:t>, and communication plan</w:t>
            </w:r>
            <w:r w:rsidRPr="00755A70">
              <w:rPr>
                <w:sz w:val="22"/>
                <w:szCs w:val="22"/>
                <w:highlight w:val="yellow"/>
              </w:rPr>
              <w:t>;</w:t>
            </w:r>
          </w:p>
          <w:p w:rsidR="00760E32" w:rsidRPr="00755A70" w:rsidRDefault="008A2821" w:rsidP="00B32D06">
            <w:pPr>
              <w:numPr>
                <w:ilvl w:val="0"/>
                <w:numId w:val="14"/>
              </w:numPr>
              <w:jc w:val="both"/>
              <w:rPr>
                <w:sz w:val="22"/>
                <w:szCs w:val="22"/>
                <w:highlight w:val="yellow"/>
              </w:rPr>
            </w:pPr>
            <w:r w:rsidRPr="00755A70">
              <w:rPr>
                <w:sz w:val="22"/>
                <w:szCs w:val="22"/>
                <w:highlight w:val="yellow"/>
              </w:rPr>
              <w:t>Q</w:t>
            </w:r>
            <w:r w:rsidR="000E63BE" w:rsidRPr="00755A70">
              <w:rPr>
                <w:sz w:val="22"/>
                <w:szCs w:val="22"/>
                <w:highlight w:val="yellow"/>
              </w:rPr>
              <w:t xml:space="preserve">uality </w:t>
            </w:r>
            <w:r w:rsidRPr="00755A70">
              <w:rPr>
                <w:sz w:val="22"/>
                <w:szCs w:val="22"/>
                <w:highlight w:val="yellow"/>
              </w:rPr>
              <w:t>assessment</w:t>
            </w:r>
            <w:r w:rsidR="00A331F7" w:rsidRPr="00755A70">
              <w:rPr>
                <w:sz w:val="22"/>
                <w:szCs w:val="22"/>
                <w:highlight w:val="yellow"/>
              </w:rPr>
              <w:t xml:space="preserve"> system to ensure high quality of the evaluation process / Quality </w:t>
            </w:r>
            <w:r w:rsidR="000E63BE" w:rsidRPr="00755A70">
              <w:rPr>
                <w:sz w:val="22"/>
                <w:szCs w:val="22"/>
                <w:highlight w:val="yellow"/>
              </w:rPr>
              <w:t>control</w:t>
            </w:r>
            <w:r w:rsidR="00A331F7" w:rsidRPr="00755A70">
              <w:rPr>
                <w:sz w:val="22"/>
                <w:szCs w:val="22"/>
                <w:highlight w:val="yellow"/>
              </w:rPr>
              <w:t xml:space="preserve"> measures to ensure high quality of the deliverables</w:t>
            </w:r>
            <w:r w:rsidRPr="00755A70">
              <w:rPr>
                <w:sz w:val="22"/>
                <w:szCs w:val="22"/>
                <w:highlight w:val="yellow"/>
              </w:rPr>
              <w:t>.</w:t>
            </w:r>
          </w:p>
          <w:p w:rsidR="008A2821" w:rsidRPr="00337D73" w:rsidRDefault="008A2821" w:rsidP="00A331F7">
            <w:pPr>
              <w:ind w:left="698"/>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A0E14" w:rsidRPr="00337D73" w:rsidRDefault="008A2821">
            <w:pPr>
              <w:jc w:val="center"/>
              <w:rPr>
                <w:b/>
                <w:sz w:val="22"/>
                <w:szCs w:val="22"/>
              </w:rPr>
            </w:pPr>
            <w:r w:rsidRPr="00337D73">
              <w:rPr>
                <w:b/>
                <w:sz w:val="22"/>
                <w:szCs w:val="22"/>
              </w:rPr>
              <w:t>45</w:t>
            </w:r>
          </w:p>
        </w:tc>
        <w:tc>
          <w:tcPr>
            <w:tcW w:w="1541" w:type="dxa"/>
            <w:tcBorders>
              <w:top w:val="single" w:sz="4" w:space="0" w:color="auto"/>
              <w:left w:val="single" w:sz="4" w:space="0" w:color="auto"/>
              <w:bottom w:val="single" w:sz="4" w:space="0" w:color="auto"/>
              <w:right w:val="single" w:sz="4" w:space="0" w:color="auto"/>
            </w:tcBorders>
          </w:tcPr>
          <w:p w:rsidR="00EA0E14" w:rsidRPr="00337D73" w:rsidRDefault="008A2821">
            <w:pPr>
              <w:jc w:val="center"/>
              <w:rPr>
                <w:b/>
                <w:sz w:val="22"/>
                <w:szCs w:val="22"/>
              </w:rPr>
            </w:pPr>
            <w:r w:rsidRPr="00337D73">
              <w:rPr>
                <w:b/>
                <w:sz w:val="22"/>
                <w:szCs w:val="22"/>
              </w:rPr>
              <w:t>23</w:t>
            </w:r>
          </w:p>
        </w:tc>
      </w:tr>
      <w:tr w:rsidR="008A2821" w:rsidRPr="00337D73" w:rsidTr="00935938">
        <w:trPr>
          <w:cantSplit/>
          <w:jc w:val="center"/>
        </w:trPr>
        <w:tc>
          <w:tcPr>
            <w:tcW w:w="5652" w:type="dxa"/>
            <w:tcBorders>
              <w:top w:val="single" w:sz="4" w:space="0" w:color="auto"/>
              <w:left w:val="single" w:sz="4" w:space="0" w:color="auto"/>
              <w:bottom w:val="single" w:sz="4" w:space="0" w:color="auto"/>
              <w:right w:val="single" w:sz="4" w:space="0" w:color="auto"/>
            </w:tcBorders>
          </w:tcPr>
          <w:p w:rsidR="008A2821" w:rsidRPr="00337D73" w:rsidRDefault="008A2821" w:rsidP="00A331F7">
            <w:pPr>
              <w:numPr>
                <w:ilvl w:val="0"/>
                <w:numId w:val="16"/>
              </w:numPr>
              <w:jc w:val="both"/>
              <w:rPr>
                <w:sz w:val="22"/>
                <w:szCs w:val="22"/>
              </w:rPr>
            </w:pPr>
            <w:r w:rsidRPr="00337D73">
              <w:rPr>
                <w:b/>
                <w:sz w:val="22"/>
                <w:szCs w:val="22"/>
              </w:rPr>
              <w:t>Capacity and role of the members of the team of experts</w:t>
            </w:r>
            <w:r w:rsidRPr="00337D73">
              <w:rPr>
                <w:sz w:val="22"/>
                <w:szCs w:val="22"/>
              </w:rPr>
              <w:t>, including</w:t>
            </w:r>
            <w:r w:rsidR="00A51EDD">
              <w:rPr>
                <w:sz w:val="22"/>
                <w:szCs w:val="22"/>
              </w:rPr>
              <w:t xml:space="preserve"> </w:t>
            </w:r>
            <w:proofErr w:type="spellStart"/>
            <w:r w:rsidR="00A51EDD" w:rsidRPr="00A51EDD">
              <w:rPr>
                <w:i/>
                <w:sz w:val="22"/>
                <w:szCs w:val="22"/>
              </w:rPr>
              <w:t>i.a</w:t>
            </w:r>
            <w:proofErr w:type="spellEnd"/>
            <w:r w:rsidR="00A51EDD" w:rsidRPr="00A51EDD">
              <w:rPr>
                <w:i/>
                <w:sz w:val="22"/>
                <w:szCs w:val="22"/>
              </w:rPr>
              <w:t>.</w:t>
            </w:r>
            <w:r w:rsidRPr="00337D73">
              <w:rPr>
                <w:sz w:val="22"/>
                <w:szCs w:val="22"/>
              </w:rPr>
              <w:t>:</w:t>
            </w:r>
          </w:p>
          <w:p w:rsidR="008A2821" w:rsidRPr="00755A70" w:rsidRDefault="00A331F7" w:rsidP="00A331F7">
            <w:pPr>
              <w:numPr>
                <w:ilvl w:val="0"/>
                <w:numId w:val="15"/>
              </w:numPr>
              <w:jc w:val="both"/>
              <w:rPr>
                <w:sz w:val="22"/>
                <w:szCs w:val="22"/>
                <w:highlight w:val="yellow"/>
              </w:rPr>
            </w:pPr>
            <w:r w:rsidRPr="00755A70">
              <w:rPr>
                <w:sz w:val="22"/>
                <w:szCs w:val="22"/>
                <w:highlight w:val="yellow"/>
              </w:rPr>
              <w:t>Fulfilment of expertise requirements indicated in the specific terms of reference</w:t>
            </w:r>
            <w:r w:rsidR="008A2821" w:rsidRPr="00755A70">
              <w:rPr>
                <w:sz w:val="22"/>
                <w:szCs w:val="22"/>
                <w:highlight w:val="yellow"/>
              </w:rPr>
              <w:t>;</w:t>
            </w:r>
          </w:p>
          <w:p w:rsidR="00A331F7" w:rsidRPr="00755A70" w:rsidRDefault="00A331F7" w:rsidP="00A331F7">
            <w:pPr>
              <w:numPr>
                <w:ilvl w:val="0"/>
                <w:numId w:val="15"/>
              </w:numPr>
              <w:jc w:val="both"/>
              <w:rPr>
                <w:sz w:val="22"/>
                <w:szCs w:val="22"/>
                <w:highlight w:val="yellow"/>
              </w:rPr>
            </w:pPr>
            <w:r w:rsidRPr="00755A70">
              <w:rPr>
                <w:sz w:val="22"/>
                <w:szCs w:val="22"/>
                <w:highlight w:val="yellow"/>
              </w:rPr>
              <w:t>Distribution of the roles and responsibilities of the team members;</w:t>
            </w:r>
          </w:p>
          <w:p w:rsidR="008A2821" w:rsidRPr="00755A70" w:rsidRDefault="00A331F7" w:rsidP="00A331F7">
            <w:pPr>
              <w:numPr>
                <w:ilvl w:val="0"/>
                <w:numId w:val="15"/>
              </w:numPr>
              <w:jc w:val="both"/>
              <w:rPr>
                <w:b/>
                <w:sz w:val="22"/>
                <w:szCs w:val="22"/>
                <w:highlight w:val="yellow"/>
              </w:rPr>
            </w:pPr>
            <w:r w:rsidRPr="00755A70">
              <w:rPr>
                <w:sz w:val="22"/>
                <w:szCs w:val="22"/>
                <w:highlight w:val="yellow"/>
              </w:rPr>
              <w:t xml:space="preserve">How the various experts are mobilised, also in terms of language / </w:t>
            </w:r>
            <w:r w:rsidR="00B82D6A" w:rsidRPr="00755A70">
              <w:rPr>
                <w:sz w:val="22"/>
                <w:szCs w:val="22"/>
                <w:highlight w:val="yellow"/>
              </w:rPr>
              <w:t>gender</w:t>
            </w:r>
            <w:r w:rsidR="00345C7E" w:rsidRPr="00755A70">
              <w:rPr>
                <w:sz w:val="22"/>
                <w:szCs w:val="22"/>
                <w:highlight w:val="yellow"/>
              </w:rPr>
              <w:t xml:space="preserve"> / </w:t>
            </w:r>
            <w:r w:rsidRPr="00755A70">
              <w:rPr>
                <w:sz w:val="22"/>
                <w:szCs w:val="22"/>
                <w:highlight w:val="yellow"/>
              </w:rPr>
              <w:t>specific expertise.</w:t>
            </w:r>
          </w:p>
          <w:p w:rsidR="00BF7492" w:rsidRPr="00337D73" w:rsidRDefault="00BF7492" w:rsidP="00BF7492">
            <w:pPr>
              <w:numPr>
                <w:ilvl w:val="0"/>
                <w:numId w:val="15"/>
              </w:numPr>
              <w:jc w:val="both"/>
              <w:rPr>
                <w:sz w:val="22"/>
                <w:szCs w:val="22"/>
              </w:rPr>
            </w:pPr>
            <w:r w:rsidRPr="00755A70">
              <w:rPr>
                <w:sz w:val="22"/>
                <w:szCs w:val="22"/>
                <w:highlight w:val="yellow"/>
              </w:rPr>
              <w:t>Synergies/complementarities within the team of experts.</w:t>
            </w:r>
          </w:p>
          <w:p w:rsidR="008A2821" w:rsidRPr="00337D73" w:rsidRDefault="008A2821" w:rsidP="00A331F7">
            <w:pPr>
              <w:ind w:left="36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8A2821" w:rsidRPr="00337D73" w:rsidRDefault="008A2821" w:rsidP="008A2821">
            <w:pPr>
              <w:jc w:val="center"/>
              <w:rPr>
                <w:b/>
                <w:sz w:val="22"/>
                <w:szCs w:val="22"/>
              </w:rPr>
            </w:pPr>
            <w:r w:rsidRPr="00337D73">
              <w:rPr>
                <w:b/>
                <w:sz w:val="22"/>
                <w:szCs w:val="22"/>
              </w:rPr>
              <w:t>40</w:t>
            </w:r>
          </w:p>
        </w:tc>
        <w:tc>
          <w:tcPr>
            <w:tcW w:w="1541" w:type="dxa"/>
            <w:tcBorders>
              <w:top w:val="single" w:sz="4" w:space="0" w:color="auto"/>
              <w:left w:val="single" w:sz="4" w:space="0" w:color="auto"/>
              <w:bottom w:val="single" w:sz="4" w:space="0" w:color="auto"/>
              <w:right w:val="single" w:sz="4" w:space="0" w:color="auto"/>
            </w:tcBorders>
          </w:tcPr>
          <w:p w:rsidR="008A2821" w:rsidRPr="00337D73" w:rsidRDefault="008A2821" w:rsidP="008A2821">
            <w:pPr>
              <w:jc w:val="center"/>
              <w:rPr>
                <w:b/>
                <w:sz w:val="22"/>
                <w:szCs w:val="22"/>
              </w:rPr>
            </w:pPr>
            <w:r w:rsidRPr="00337D73">
              <w:rPr>
                <w:b/>
                <w:sz w:val="22"/>
                <w:szCs w:val="22"/>
              </w:rPr>
              <w:t>20</w:t>
            </w:r>
          </w:p>
        </w:tc>
      </w:tr>
      <w:tr w:rsidR="00EA0E14" w:rsidRPr="002F11A5" w:rsidTr="00935938">
        <w:trPr>
          <w:cantSplit/>
          <w:jc w:val="center"/>
        </w:trPr>
        <w:tc>
          <w:tcPr>
            <w:tcW w:w="5652" w:type="dxa"/>
            <w:tcBorders>
              <w:top w:val="single" w:sz="4" w:space="0" w:color="auto"/>
              <w:left w:val="single" w:sz="4" w:space="0" w:color="auto"/>
              <w:bottom w:val="single" w:sz="4" w:space="0" w:color="auto"/>
              <w:right w:val="single" w:sz="4" w:space="0" w:color="auto"/>
            </w:tcBorders>
            <w:shd w:val="clear" w:color="auto" w:fill="D9D9D9"/>
          </w:tcPr>
          <w:p w:rsidR="00EA0E14" w:rsidRDefault="00EA0E14">
            <w:pPr>
              <w:rPr>
                <w:b/>
                <w:sz w:val="22"/>
                <w:szCs w:val="22"/>
              </w:rPr>
            </w:pPr>
            <w:r w:rsidRPr="002F11A5">
              <w:rPr>
                <w:b/>
                <w:sz w:val="22"/>
                <w:szCs w:val="22"/>
              </w:rPr>
              <w:t xml:space="preserve">Overall total </w:t>
            </w:r>
            <w:r w:rsidR="008A2821">
              <w:rPr>
                <w:b/>
                <w:sz w:val="22"/>
                <w:szCs w:val="22"/>
              </w:rPr>
              <w:t>points/</w:t>
            </w:r>
            <w:r w:rsidRPr="002F11A5">
              <w:rPr>
                <w:b/>
                <w:sz w:val="22"/>
                <w:szCs w:val="22"/>
              </w:rPr>
              <w:t>score</w:t>
            </w:r>
          </w:p>
          <w:p w:rsidR="008A2821" w:rsidRPr="002F11A5" w:rsidRDefault="008A2821">
            <w:pP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A0E14" w:rsidRPr="002F11A5" w:rsidRDefault="00EA0E14">
            <w:pPr>
              <w:jc w:val="center"/>
              <w:rPr>
                <w:b/>
                <w:sz w:val="22"/>
                <w:szCs w:val="22"/>
              </w:rPr>
            </w:pPr>
            <w:r w:rsidRPr="002F11A5">
              <w:rPr>
                <w:b/>
                <w:sz w:val="22"/>
                <w:szCs w:val="22"/>
              </w:rPr>
              <w:t>100</w:t>
            </w:r>
          </w:p>
        </w:tc>
        <w:tc>
          <w:tcPr>
            <w:tcW w:w="1541" w:type="dxa"/>
            <w:tcBorders>
              <w:top w:val="single" w:sz="4" w:space="0" w:color="auto"/>
              <w:left w:val="single" w:sz="4" w:space="0" w:color="auto"/>
              <w:bottom w:val="single" w:sz="4" w:space="0" w:color="auto"/>
              <w:right w:val="single" w:sz="4" w:space="0" w:color="auto"/>
            </w:tcBorders>
            <w:shd w:val="clear" w:color="auto" w:fill="D9D9D9"/>
          </w:tcPr>
          <w:p w:rsidR="00EA0E14" w:rsidRPr="002F11A5" w:rsidRDefault="00EA0E14">
            <w:pPr>
              <w:jc w:val="center"/>
              <w:rPr>
                <w:b/>
                <w:sz w:val="22"/>
                <w:szCs w:val="22"/>
              </w:rPr>
            </w:pPr>
          </w:p>
        </w:tc>
      </w:tr>
    </w:tbl>
    <w:p w:rsidR="00EA0E14" w:rsidRDefault="00EA0E14" w:rsidP="00EA0E14">
      <w:pPr>
        <w:jc w:val="both"/>
        <w:rPr>
          <w:sz w:val="22"/>
          <w:szCs w:val="22"/>
        </w:rPr>
      </w:pPr>
    </w:p>
    <w:p w:rsidR="00935938" w:rsidRDefault="00935938" w:rsidP="00EA0E14">
      <w:pPr>
        <w:jc w:val="both"/>
        <w:rPr>
          <w:sz w:val="22"/>
          <w:szCs w:val="22"/>
        </w:rPr>
      </w:pPr>
    </w:p>
    <w:p w:rsidR="0070501B" w:rsidRDefault="0070501B" w:rsidP="00EA0E14">
      <w:pPr>
        <w:jc w:val="both"/>
        <w:rPr>
          <w:sz w:val="22"/>
          <w:szCs w:val="22"/>
        </w:rPr>
      </w:pPr>
      <w:r>
        <w:rPr>
          <w:sz w:val="22"/>
          <w:szCs w:val="22"/>
        </w:rPr>
        <w:t>Abstract from section 5.1.2 of the Global Terms of Reference (</w:t>
      </w:r>
      <w:proofErr w:type="spellStart"/>
      <w:r>
        <w:rPr>
          <w:sz w:val="22"/>
          <w:szCs w:val="22"/>
        </w:rPr>
        <w:t>ToRs</w:t>
      </w:r>
      <w:proofErr w:type="spellEnd"/>
      <w:r>
        <w:rPr>
          <w:sz w:val="22"/>
          <w:szCs w:val="22"/>
        </w:rPr>
        <w:t>) for EVA 2020:</w:t>
      </w:r>
    </w:p>
    <w:p w:rsidR="0070501B" w:rsidRDefault="0070501B" w:rsidP="00EA0E14">
      <w:pPr>
        <w:jc w:val="both"/>
        <w:rPr>
          <w:i/>
          <w:sz w:val="22"/>
          <w:szCs w:val="22"/>
        </w:rPr>
      </w:pPr>
      <w:r w:rsidRPr="0070501B">
        <w:rPr>
          <w:i/>
          <w:sz w:val="22"/>
          <w:szCs w:val="22"/>
        </w:rPr>
        <w:t>“The following categories of experts will be required for the implementation of the specific assignment: a) senior expert, b) me</w:t>
      </w:r>
      <w:r>
        <w:rPr>
          <w:i/>
          <w:sz w:val="22"/>
          <w:szCs w:val="22"/>
        </w:rPr>
        <w:t>dium expert, c) junior expert.</w:t>
      </w:r>
    </w:p>
    <w:p w:rsidR="0070501B" w:rsidRDefault="0070501B" w:rsidP="00EA0E14">
      <w:pPr>
        <w:jc w:val="both"/>
        <w:rPr>
          <w:i/>
          <w:sz w:val="22"/>
          <w:szCs w:val="22"/>
        </w:rPr>
      </w:pPr>
    </w:p>
    <w:p w:rsidR="0070501B" w:rsidRDefault="0070501B" w:rsidP="00EA0E14">
      <w:pPr>
        <w:jc w:val="both"/>
        <w:rPr>
          <w:i/>
          <w:sz w:val="22"/>
          <w:szCs w:val="22"/>
        </w:rPr>
      </w:pPr>
      <w:r w:rsidRPr="0070501B">
        <w:rPr>
          <w:i/>
          <w:sz w:val="22"/>
          <w:szCs w:val="22"/>
        </w:rPr>
        <w:t xml:space="preserve">The Terms of References for specific assignments (or ‘Specific </w:t>
      </w:r>
      <w:proofErr w:type="spellStart"/>
      <w:r w:rsidRPr="0070501B">
        <w:rPr>
          <w:i/>
          <w:sz w:val="22"/>
          <w:szCs w:val="22"/>
        </w:rPr>
        <w:t>ToRs’</w:t>
      </w:r>
      <w:proofErr w:type="spellEnd"/>
      <w:r w:rsidRPr="0070501B">
        <w:rPr>
          <w:i/>
          <w:sz w:val="22"/>
          <w:szCs w:val="22"/>
        </w:rPr>
        <w:t>) will complement the following requirements in terms of qualifications, skills, and professional experience for each expert requested to conduct the assignment:</w:t>
      </w:r>
    </w:p>
    <w:p w:rsidR="0070501B" w:rsidRDefault="0070501B" w:rsidP="00EA0E14">
      <w:pPr>
        <w:jc w:val="both"/>
        <w:rPr>
          <w:i/>
          <w:sz w:val="22"/>
          <w:szCs w:val="22"/>
        </w:rPr>
      </w:pPr>
    </w:p>
    <w:p w:rsidR="0070501B" w:rsidRDefault="0070501B" w:rsidP="0070501B">
      <w:pPr>
        <w:numPr>
          <w:ilvl w:val="0"/>
          <w:numId w:val="17"/>
        </w:numPr>
        <w:jc w:val="both"/>
        <w:rPr>
          <w:i/>
          <w:sz w:val="22"/>
          <w:szCs w:val="22"/>
        </w:rPr>
      </w:pPr>
      <w:r w:rsidRPr="0070501B">
        <w:rPr>
          <w:b/>
          <w:i/>
          <w:sz w:val="22"/>
          <w:szCs w:val="22"/>
        </w:rPr>
        <w:t>Senior expert</w:t>
      </w:r>
      <w:r w:rsidRPr="0070501B">
        <w:rPr>
          <w:i/>
          <w:sz w:val="22"/>
          <w:szCs w:val="22"/>
        </w:rPr>
        <w:t>: Highly qualified expert having assumed important responsibilities in her/his profession. Recruited for her/his conceptual and creative skills in the exercise of his/her profession. He/she must have at least 10 years’ professional experience connected with the professional skill(s) concerned and the type of task(s) to be p</w:t>
      </w:r>
      <w:r>
        <w:rPr>
          <w:i/>
          <w:sz w:val="22"/>
          <w:szCs w:val="22"/>
        </w:rPr>
        <w:t>erformed under the assignment.</w:t>
      </w:r>
    </w:p>
    <w:p w:rsidR="0070501B" w:rsidRDefault="0070501B" w:rsidP="0070501B">
      <w:pPr>
        <w:ind w:left="720"/>
        <w:jc w:val="both"/>
        <w:rPr>
          <w:i/>
          <w:sz w:val="22"/>
          <w:szCs w:val="22"/>
        </w:rPr>
      </w:pPr>
    </w:p>
    <w:p w:rsidR="0070501B" w:rsidRDefault="0070501B" w:rsidP="0070501B">
      <w:pPr>
        <w:numPr>
          <w:ilvl w:val="0"/>
          <w:numId w:val="17"/>
        </w:numPr>
        <w:jc w:val="both"/>
        <w:rPr>
          <w:i/>
          <w:sz w:val="22"/>
          <w:szCs w:val="22"/>
        </w:rPr>
      </w:pPr>
      <w:r w:rsidRPr="0070501B">
        <w:rPr>
          <w:b/>
          <w:i/>
          <w:sz w:val="22"/>
          <w:szCs w:val="22"/>
        </w:rPr>
        <w:t>Medium expert</w:t>
      </w:r>
      <w:r w:rsidRPr="0070501B">
        <w:rPr>
          <w:i/>
          <w:sz w:val="22"/>
          <w:szCs w:val="22"/>
        </w:rPr>
        <w:t>: Qualified expert having received high-level training in her/his profession, recruited for his/her conceptual and creative skills in his/her profession. She/he must have at least 5 years’ experience connected with the professional skill(s) concerned and the type of task(s) to be performed under the assignment.</w:t>
      </w:r>
    </w:p>
    <w:p w:rsidR="0070501B" w:rsidRDefault="0070501B" w:rsidP="0070501B">
      <w:pPr>
        <w:jc w:val="both"/>
        <w:rPr>
          <w:i/>
          <w:sz w:val="22"/>
          <w:szCs w:val="22"/>
        </w:rPr>
      </w:pPr>
    </w:p>
    <w:p w:rsidR="0070501B" w:rsidRPr="0070501B" w:rsidRDefault="0070501B" w:rsidP="00EA0E14">
      <w:pPr>
        <w:numPr>
          <w:ilvl w:val="0"/>
          <w:numId w:val="17"/>
        </w:numPr>
        <w:jc w:val="both"/>
        <w:rPr>
          <w:i/>
          <w:sz w:val="22"/>
          <w:szCs w:val="22"/>
        </w:rPr>
      </w:pPr>
      <w:r w:rsidRPr="0070501B">
        <w:rPr>
          <w:b/>
          <w:i/>
          <w:sz w:val="22"/>
          <w:szCs w:val="22"/>
        </w:rPr>
        <w:t>Junior expert</w:t>
      </w:r>
      <w:r w:rsidRPr="0070501B">
        <w:rPr>
          <w:i/>
          <w:sz w:val="22"/>
          <w:szCs w:val="22"/>
        </w:rPr>
        <w:t>: Qualified expert having received high-level training in his/her profession, recruited for her/his conceptual and creative skills in his/her profession. She/he must have at least 3 years’ professional experience connected to the type of task(s) to be performed under the assignment (e.g. elaboration of spending activities mappings, data collection and treatment, etc.) J</w:t>
      </w:r>
      <w:bookmarkStart w:id="0" w:name="_GoBack"/>
      <w:bookmarkEnd w:id="0"/>
      <w:r w:rsidRPr="0070501B">
        <w:rPr>
          <w:i/>
          <w:sz w:val="22"/>
          <w:szCs w:val="22"/>
        </w:rPr>
        <w:t>unior staff may include staff offering specialised services like data collection, surveys, language editing, etc.”</w:t>
      </w:r>
    </w:p>
    <w:p w:rsidR="0070501B" w:rsidRDefault="0070501B" w:rsidP="00EA0E14">
      <w:pPr>
        <w:jc w:val="both"/>
        <w:rPr>
          <w:sz w:val="22"/>
          <w:szCs w:val="22"/>
        </w:rPr>
      </w:pPr>
    </w:p>
    <w:p w:rsidR="008911D9" w:rsidRDefault="008911D9" w:rsidP="00EA0E14">
      <w:pPr>
        <w:jc w:val="both"/>
        <w:rPr>
          <w:sz w:val="22"/>
          <w:szCs w:val="22"/>
        </w:rPr>
      </w:pPr>
      <w:r>
        <w:rPr>
          <w:sz w:val="22"/>
          <w:szCs w:val="22"/>
        </w:rPr>
        <w:t xml:space="preserve">Abstract from section 6.4 of the Global </w:t>
      </w:r>
      <w:proofErr w:type="spellStart"/>
      <w:r>
        <w:rPr>
          <w:sz w:val="22"/>
          <w:szCs w:val="22"/>
        </w:rPr>
        <w:t>ToRs</w:t>
      </w:r>
      <w:proofErr w:type="spellEnd"/>
      <w:r>
        <w:rPr>
          <w:sz w:val="22"/>
          <w:szCs w:val="22"/>
        </w:rPr>
        <w:t xml:space="preserve"> for EVA 2020:</w:t>
      </w:r>
    </w:p>
    <w:p w:rsidR="0070501B" w:rsidRPr="000732B9" w:rsidRDefault="008911D9" w:rsidP="008911D9">
      <w:pPr>
        <w:jc w:val="both"/>
        <w:rPr>
          <w:sz w:val="22"/>
          <w:szCs w:val="22"/>
        </w:rPr>
      </w:pPr>
      <w:r w:rsidRPr="008911D9">
        <w:rPr>
          <w:i/>
          <w:sz w:val="22"/>
          <w:szCs w:val="22"/>
        </w:rPr>
        <w:t>‘In his offer, the Framework Contractor should elaborate on all points addressed by the specific ToRs in order to score as many points as possible. The mere repetition of mandatory requirements set out in the specific ToRs, without going into details or without providing an added value, will result in a very low technical score. In addition, if certain essential points of the specific ToRs were to be overlooked by the offer, the Commission may decide to give a zero mark for the relevant qualitative award criteria’</w:t>
      </w:r>
      <w:r w:rsidRPr="008911D9">
        <w:rPr>
          <w:sz w:val="22"/>
          <w:szCs w:val="22"/>
        </w:rPr>
        <w:t>.</w:t>
      </w:r>
    </w:p>
    <w:p w:rsidR="008911D9" w:rsidRPr="000732B9" w:rsidRDefault="008911D9" w:rsidP="00EA0E14">
      <w:pPr>
        <w:jc w:val="both"/>
        <w:rPr>
          <w:sz w:val="22"/>
          <w:szCs w:val="22"/>
        </w:rPr>
      </w:pPr>
    </w:p>
    <w:p w:rsidR="00EA0E14" w:rsidRPr="008911D9" w:rsidRDefault="00EA0E14" w:rsidP="00EA0E14">
      <w:pPr>
        <w:jc w:val="both"/>
        <w:rPr>
          <w:b/>
          <w:sz w:val="22"/>
          <w:szCs w:val="22"/>
        </w:rPr>
      </w:pPr>
      <w:r w:rsidRPr="008911D9">
        <w:rPr>
          <w:b/>
          <w:sz w:val="22"/>
          <w:szCs w:val="22"/>
        </w:rPr>
        <w:t>2.</w:t>
      </w:r>
      <w:r w:rsidRPr="008911D9">
        <w:rPr>
          <w:b/>
          <w:sz w:val="22"/>
          <w:szCs w:val="22"/>
        </w:rPr>
        <w:tab/>
        <w:t>TECHNICAL THRESHOLD</w:t>
      </w:r>
    </w:p>
    <w:p w:rsidR="00EA0E14" w:rsidRPr="000732B9" w:rsidRDefault="00EA0E14" w:rsidP="00EA0E14">
      <w:pPr>
        <w:jc w:val="both"/>
        <w:rPr>
          <w:sz w:val="22"/>
          <w:szCs w:val="22"/>
        </w:rPr>
      </w:pPr>
    </w:p>
    <w:p w:rsidR="00EA0E14" w:rsidRDefault="00EA0E14" w:rsidP="00EA0E14">
      <w:pPr>
        <w:jc w:val="both"/>
        <w:rPr>
          <w:sz w:val="22"/>
          <w:szCs w:val="22"/>
        </w:rPr>
      </w:pPr>
      <w:r w:rsidRPr="000732B9">
        <w:rPr>
          <w:sz w:val="22"/>
          <w:szCs w:val="22"/>
        </w:rPr>
        <w:t xml:space="preserve">Any offer falling short of the technical threshold of </w:t>
      </w:r>
      <w:r w:rsidRPr="00DD75B1">
        <w:rPr>
          <w:b/>
          <w:sz w:val="22"/>
          <w:szCs w:val="22"/>
        </w:rPr>
        <w:t>75 out of 100 points</w:t>
      </w:r>
      <w:r w:rsidRPr="000732B9">
        <w:rPr>
          <w:sz w:val="22"/>
          <w:szCs w:val="22"/>
        </w:rPr>
        <w:t>, is automatically rejected.</w:t>
      </w:r>
    </w:p>
    <w:p w:rsidR="008911D9" w:rsidRDefault="008911D9" w:rsidP="00EA0E14">
      <w:pPr>
        <w:jc w:val="both"/>
        <w:rPr>
          <w:sz w:val="22"/>
          <w:szCs w:val="22"/>
        </w:rPr>
      </w:pPr>
    </w:p>
    <w:p w:rsidR="00EA0E14" w:rsidRPr="000732B9" w:rsidRDefault="00EA0E14" w:rsidP="00EA0E14">
      <w:pPr>
        <w:jc w:val="both"/>
        <w:rPr>
          <w:sz w:val="22"/>
          <w:szCs w:val="22"/>
        </w:rPr>
      </w:pPr>
    </w:p>
    <w:p w:rsidR="00EA0E14" w:rsidRPr="008911D9" w:rsidRDefault="00EA0E14" w:rsidP="00EA0E14">
      <w:pPr>
        <w:jc w:val="both"/>
        <w:rPr>
          <w:b/>
          <w:sz w:val="22"/>
          <w:szCs w:val="22"/>
        </w:rPr>
      </w:pPr>
      <w:r w:rsidRPr="008911D9">
        <w:rPr>
          <w:b/>
          <w:sz w:val="22"/>
          <w:szCs w:val="22"/>
        </w:rPr>
        <w:t>3.</w:t>
      </w:r>
      <w:r w:rsidRPr="008911D9">
        <w:rPr>
          <w:b/>
          <w:sz w:val="22"/>
          <w:szCs w:val="22"/>
        </w:rPr>
        <w:tab/>
        <w:t>INTERVIEWS</w:t>
      </w:r>
    </w:p>
    <w:p w:rsidR="00EA0E14" w:rsidRPr="000732B9" w:rsidRDefault="00EA0E14" w:rsidP="00EA0E14">
      <w:pPr>
        <w:tabs>
          <w:tab w:val="left" w:pos="284"/>
        </w:tabs>
        <w:rPr>
          <w:sz w:val="22"/>
          <w:szCs w:val="22"/>
        </w:rPr>
      </w:pPr>
    </w:p>
    <w:p w:rsidR="00EA0E14" w:rsidRPr="000732B9" w:rsidRDefault="00EA0E14" w:rsidP="00EA0E14">
      <w:pPr>
        <w:jc w:val="both"/>
        <w:rPr>
          <w:sz w:val="22"/>
          <w:szCs w:val="22"/>
        </w:rPr>
      </w:pPr>
      <w:r w:rsidRPr="000732B9">
        <w:rPr>
          <w:sz w:val="22"/>
          <w:szCs w:val="22"/>
        </w:rPr>
        <w:t xml:space="preserve">Interviews </w:t>
      </w:r>
      <w:r>
        <w:rPr>
          <w:sz w:val="22"/>
          <w:szCs w:val="22"/>
        </w:rPr>
        <w:t xml:space="preserve">(to certify that experts proposed are able to </w:t>
      </w:r>
      <w:r w:rsidRPr="00190FD9">
        <w:rPr>
          <w:sz w:val="22"/>
          <w:szCs w:val="22"/>
        </w:rPr>
        <w:t>deliver as announced in the offer</w:t>
      </w:r>
      <w:r>
        <w:rPr>
          <w:sz w:val="22"/>
          <w:szCs w:val="22"/>
        </w:rPr>
        <w:t>)</w:t>
      </w:r>
      <w:r w:rsidRPr="00190FD9">
        <w:rPr>
          <w:sz w:val="22"/>
          <w:szCs w:val="22"/>
        </w:rPr>
        <w:t xml:space="preserve"> </w:t>
      </w:r>
      <w:r w:rsidRPr="000732B9">
        <w:rPr>
          <w:sz w:val="22"/>
          <w:szCs w:val="22"/>
        </w:rPr>
        <w:t>if necessary indicating for which experts/position, and details on the practical arrangements (date, time)</w:t>
      </w:r>
    </w:p>
    <w:sectPr w:rsidR="00EA0E14" w:rsidRPr="000732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C7" w:rsidRDefault="00B82FC7">
      <w:r>
        <w:separator/>
      </w:r>
    </w:p>
  </w:endnote>
  <w:endnote w:type="continuationSeparator" w:id="0">
    <w:p w:rsidR="00B82FC7" w:rsidRDefault="00B8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14" w:rsidRPr="009B0B8A" w:rsidRDefault="00EA0E14" w:rsidP="00EA0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C7" w:rsidRDefault="00B82FC7">
      <w:r>
        <w:separator/>
      </w:r>
    </w:p>
  </w:footnote>
  <w:footnote w:type="continuationSeparator" w:id="0">
    <w:p w:rsidR="00B82FC7" w:rsidRDefault="00B8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14" w:rsidRPr="008409E8" w:rsidRDefault="00EA0E14" w:rsidP="00EA0E14">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5BCD"/>
    <w:multiLevelType w:val="hybridMultilevel"/>
    <w:tmpl w:val="10CCB4FC"/>
    <w:lvl w:ilvl="0" w:tplc="0904254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021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D997D99"/>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17C11C3"/>
    <w:multiLevelType w:val="hybridMultilevel"/>
    <w:tmpl w:val="34866E8A"/>
    <w:lvl w:ilvl="0" w:tplc="0904254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66A12"/>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A51715C"/>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DF34DDE"/>
    <w:multiLevelType w:val="hybridMultilevel"/>
    <w:tmpl w:val="BA56229A"/>
    <w:lvl w:ilvl="0" w:tplc="E7C8759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5F5125"/>
    <w:multiLevelType w:val="hybridMultilevel"/>
    <w:tmpl w:val="8C0296BA"/>
    <w:lvl w:ilvl="0" w:tplc="C888A8C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034B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A679E4"/>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CA94449"/>
    <w:multiLevelType w:val="hybridMultilevel"/>
    <w:tmpl w:val="DE947F1A"/>
    <w:lvl w:ilvl="0" w:tplc="89D4F9A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361E0C"/>
    <w:multiLevelType w:val="hybridMultilevel"/>
    <w:tmpl w:val="E96A19A4"/>
    <w:lvl w:ilvl="0" w:tplc="0904254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1D3B70"/>
    <w:multiLevelType w:val="hybridMultilevel"/>
    <w:tmpl w:val="41B418C8"/>
    <w:lvl w:ilvl="0" w:tplc="2824774C">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FF0664"/>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C303414"/>
    <w:multiLevelType w:val="hybridMultilevel"/>
    <w:tmpl w:val="3CE237A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2074272"/>
    <w:multiLevelType w:val="hybridMultilevel"/>
    <w:tmpl w:val="82B6EFDC"/>
    <w:lvl w:ilvl="0" w:tplc="7096829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54527B9"/>
    <w:multiLevelType w:val="hybridMultilevel"/>
    <w:tmpl w:val="4642A660"/>
    <w:lvl w:ilvl="0" w:tplc="0904254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9"/>
  </w:num>
  <w:num w:numId="4">
    <w:abstractNumId w:val="5"/>
  </w:num>
  <w:num w:numId="5">
    <w:abstractNumId w:val="2"/>
  </w:num>
  <w:num w:numId="6">
    <w:abstractNumId w:val="4"/>
  </w:num>
  <w:num w:numId="7">
    <w:abstractNumId w:val="1"/>
  </w:num>
  <w:num w:numId="8">
    <w:abstractNumId w:val="10"/>
  </w:num>
  <w:num w:numId="9">
    <w:abstractNumId w:val="7"/>
  </w:num>
  <w:num w:numId="10">
    <w:abstractNumId w:val="11"/>
  </w:num>
  <w:num w:numId="11">
    <w:abstractNumId w:val="16"/>
  </w:num>
  <w:num w:numId="12">
    <w:abstractNumId w:val="3"/>
  </w:num>
  <w:num w:numId="13">
    <w:abstractNumId w:val="0"/>
  </w:num>
  <w:num w:numId="14">
    <w:abstractNumId w:val="6"/>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000180"/>
    <w:rsid w:val="00000180"/>
    <w:rsid w:val="00077544"/>
    <w:rsid w:val="00090A09"/>
    <w:rsid w:val="000C2A71"/>
    <w:rsid w:val="000C5297"/>
    <w:rsid w:val="000E011F"/>
    <w:rsid w:val="000E63BE"/>
    <w:rsid w:val="002B3999"/>
    <w:rsid w:val="00337D73"/>
    <w:rsid w:val="00345C7E"/>
    <w:rsid w:val="003D2A3A"/>
    <w:rsid w:val="00404905"/>
    <w:rsid w:val="004C01B1"/>
    <w:rsid w:val="004E27A5"/>
    <w:rsid w:val="0053450D"/>
    <w:rsid w:val="005B573C"/>
    <w:rsid w:val="00631260"/>
    <w:rsid w:val="006478ED"/>
    <w:rsid w:val="00651ACA"/>
    <w:rsid w:val="0070501B"/>
    <w:rsid w:val="00712155"/>
    <w:rsid w:val="007455DF"/>
    <w:rsid w:val="00755A70"/>
    <w:rsid w:val="00760E32"/>
    <w:rsid w:val="008911D9"/>
    <w:rsid w:val="008A2821"/>
    <w:rsid w:val="00935938"/>
    <w:rsid w:val="00957140"/>
    <w:rsid w:val="009D52BE"/>
    <w:rsid w:val="009F4A82"/>
    <w:rsid w:val="00A331F7"/>
    <w:rsid w:val="00A51EDD"/>
    <w:rsid w:val="00A6354B"/>
    <w:rsid w:val="00A74B2D"/>
    <w:rsid w:val="00B32D06"/>
    <w:rsid w:val="00B4645E"/>
    <w:rsid w:val="00B82D6A"/>
    <w:rsid w:val="00B82FC7"/>
    <w:rsid w:val="00B95CAA"/>
    <w:rsid w:val="00BD7576"/>
    <w:rsid w:val="00BF7492"/>
    <w:rsid w:val="00C36FC9"/>
    <w:rsid w:val="00C4381E"/>
    <w:rsid w:val="00D3645B"/>
    <w:rsid w:val="00DB55E6"/>
    <w:rsid w:val="00DD75B1"/>
    <w:rsid w:val="00E16D47"/>
    <w:rsid w:val="00EA0E14"/>
    <w:rsid w:val="00EE6272"/>
    <w:rsid w:val="00F96A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6FFB7CA"/>
  <w15:chartTrackingRefBased/>
  <w15:docId w15:val="{DFAA9AD3-6213-482F-A0F6-A7B234D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9E8"/>
    <w:pPr>
      <w:tabs>
        <w:tab w:val="center" w:pos="4536"/>
        <w:tab w:val="right" w:pos="9072"/>
      </w:tabs>
    </w:pPr>
  </w:style>
  <w:style w:type="paragraph" w:styleId="Footer">
    <w:name w:val="footer"/>
    <w:basedOn w:val="Normal"/>
    <w:link w:val="FooterChar"/>
    <w:uiPriority w:val="99"/>
    <w:rsid w:val="008409E8"/>
    <w:pPr>
      <w:tabs>
        <w:tab w:val="center" w:pos="4536"/>
        <w:tab w:val="right" w:pos="9072"/>
      </w:tabs>
    </w:pPr>
  </w:style>
  <w:style w:type="paragraph" w:styleId="BalloonText">
    <w:name w:val="Balloon Text"/>
    <w:basedOn w:val="Normal"/>
    <w:link w:val="BalloonTextChar"/>
    <w:rsid w:val="00E007E3"/>
    <w:rPr>
      <w:rFonts w:ascii="Tahoma" w:hAnsi="Tahoma"/>
      <w:sz w:val="16"/>
      <w:szCs w:val="16"/>
      <w:lang w:val="x-none" w:eastAsia="x-none"/>
    </w:rPr>
  </w:style>
  <w:style w:type="character" w:customStyle="1" w:styleId="BalloonTextChar">
    <w:name w:val="Balloon Text Char"/>
    <w:link w:val="BalloonText"/>
    <w:rsid w:val="00E007E3"/>
    <w:rPr>
      <w:rFonts w:ascii="Tahoma" w:hAnsi="Tahoma" w:cs="Tahoma"/>
      <w:sz w:val="16"/>
      <w:szCs w:val="16"/>
    </w:rPr>
  </w:style>
  <w:style w:type="character" w:styleId="CommentReference">
    <w:name w:val="annotation reference"/>
    <w:rsid w:val="00E007E3"/>
    <w:rPr>
      <w:sz w:val="16"/>
      <w:szCs w:val="16"/>
    </w:rPr>
  </w:style>
  <w:style w:type="paragraph" w:styleId="CommentText">
    <w:name w:val="annotation text"/>
    <w:basedOn w:val="Normal"/>
    <w:link w:val="CommentTextChar"/>
    <w:rsid w:val="00E007E3"/>
    <w:rPr>
      <w:sz w:val="20"/>
      <w:szCs w:val="20"/>
    </w:rPr>
  </w:style>
  <w:style w:type="character" w:customStyle="1" w:styleId="CommentTextChar">
    <w:name w:val="Comment Text Char"/>
    <w:basedOn w:val="DefaultParagraphFont"/>
    <w:link w:val="CommentText"/>
    <w:rsid w:val="00E007E3"/>
  </w:style>
  <w:style w:type="paragraph" w:styleId="CommentSubject">
    <w:name w:val="annotation subject"/>
    <w:basedOn w:val="CommentText"/>
    <w:next w:val="CommentText"/>
    <w:link w:val="CommentSubjectChar"/>
    <w:rsid w:val="00E007E3"/>
    <w:rPr>
      <w:b/>
      <w:bCs/>
      <w:lang w:val="x-none" w:eastAsia="x-none"/>
    </w:rPr>
  </w:style>
  <w:style w:type="character" w:customStyle="1" w:styleId="CommentSubjectChar">
    <w:name w:val="Comment Subject Char"/>
    <w:link w:val="CommentSubject"/>
    <w:rsid w:val="00E007E3"/>
    <w:rPr>
      <w:b/>
      <w:bCs/>
    </w:rPr>
  </w:style>
  <w:style w:type="character" w:customStyle="1" w:styleId="FooterChar">
    <w:name w:val="Footer Char"/>
    <w:link w:val="Footer"/>
    <w:uiPriority w:val="99"/>
    <w:rsid w:val="003D2A3A"/>
    <w:rPr>
      <w:sz w:val="24"/>
      <w:szCs w:val="24"/>
    </w:rPr>
  </w:style>
  <w:style w:type="paragraph" w:styleId="ListParagraph">
    <w:name w:val="List Paragraph"/>
    <w:basedOn w:val="Normal"/>
    <w:uiPriority w:val="34"/>
    <w:qFormat/>
    <w:rsid w:val="0070501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6DAD0F57F174590BD942F13953F57" ma:contentTypeVersion="8" ma:contentTypeDescription="Create a new document." ma:contentTypeScope="" ma:versionID="e33bcb30f7b1bf54743837bfc8995357">
  <xsd:schema xmlns:xsd="http://www.w3.org/2001/XMLSchema" xmlns:xs="http://www.w3.org/2001/XMLSchema" xmlns:p="http://schemas.microsoft.com/office/2006/metadata/properties" xmlns:ns2="a8890ec7-7aa5-40fb-ba7b-7df6fcde0160" xmlns:ns3="197a26c0-18b8-484d-be75-bbc2063f7716" targetNamespace="http://schemas.microsoft.com/office/2006/metadata/properties" ma:root="true" ma:fieldsID="dff5aa4dbee382114d27fc7d294cd17e" ns2:_="" ns3:_="">
    <xsd:import namespace="a8890ec7-7aa5-40fb-ba7b-7df6fcde0160"/>
    <xsd:import namespace="197a26c0-18b8-484d-be75-bbc2063f7716"/>
    <xsd:element name="properties">
      <xsd:complexType>
        <xsd:sequence>
          <xsd:element name="documentManagement">
            <xsd:complexType>
              <xsd:all>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0ec7-7aa5-40fb-ba7b-7df6fcde01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a26c0-18b8-484d-be75-bbc2063f7716" elementFormDefault="qualified">
    <xsd:import namespace="http://schemas.microsoft.com/office/2006/documentManagement/types"/>
    <xsd:import namespace="http://schemas.microsoft.com/office/infopath/2007/PartnerControls"/>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426F-D423-4F0B-8DC8-5E6AB2C70F5A}">
  <ds:schemaRefs>
    <ds:schemaRef ds:uri="http://schemas.microsoft.com/sharepoint/v3/contenttype/forms"/>
  </ds:schemaRefs>
</ds:datastoreItem>
</file>

<file path=customXml/itemProps2.xml><?xml version="1.0" encoding="utf-8"?>
<ds:datastoreItem xmlns:ds="http://schemas.openxmlformats.org/officeDocument/2006/customXml" ds:itemID="{40FD6004-C5CF-4D28-A46D-F3B96A1DC3EA}">
  <ds:schemaRefs>
    <ds:schemaRef ds:uri="a8890ec7-7aa5-40fb-ba7b-7df6fcde0160"/>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7a26c0-18b8-484d-be75-bbc2063f771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B4B02EA-47B3-4802-9E4E-93E4109A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0ec7-7aa5-40fb-ba7b-7df6fcde0160"/>
    <ds:schemaRef ds:uri="197a26c0-18b8-484d-be75-bbc2063f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B0432-0A86-4595-886E-C86D5E3C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3858</Characters>
  <Application>Microsoft Office Word</Application>
  <DocSecurity>0</DocSecurity>
  <Lines>113</Lines>
  <Paragraphs>50</Paragraphs>
  <ScaleCrop>false</ScaleCrop>
  <HeadingPairs>
    <vt:vector size="2" baseType="variant">
      <vt:variant>
        <vt:lpstr>Title</vt:lpstr>
      </vt:variant>
      <vt:variant>
        <vt:i4>1</vt:i4>
      </vt:variant>
    </vt:vector>
  </HeadingPairs>
  <TitlesOfParts>
    <vt:vector size="1" baseType="lpstr">
      <vt:lpstr>EUROPEAID/ 119860/C/SV/multi</vt:lpstr>
    </vt:vector>
  </TitlesOfParts>
  <Company>European Commission</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EUROPEAID/ 119860/C/SV/multi</dc:title>
  <dc:subject/>
  <dc:creator>Elisabeth Huelmbauer</dc:creator>
  <cp:keywords/>
  <cp:lastModifiedBy>SORDET Fabien (INTPA)</cp:lastModifiedBy>
  <cp:revision>3</cp:revision>
  <cp:lastPrinted>2013-02-13T13:16:00Z</cp:lastPrinted>
  <dcterms:created xsi:type="dcterms:W3CDTF">2021-03-08T13:28:00Z</dcterms:created>
  <dcterms:modified xsi:type="dcterms:W3CDTF">2021-03-08T13:39:00Z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