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611C" w14:textId="77777777" w:rsidR="002676BF" w:rsidRDefault="002676BF">
      <w:pPr>
        <w:pStyle w:val="P68B1DB1-Normal1"/>
        <w:jc w:val="center"/>
      </w:pPr>
    </w:p>
    <w:p w14:paraId="2A2539BA" w14:textId="10D0CBF9" w:rsidR="00DB1F1D" w:rsidRDefault="00DB1F1D">
      <w:pPr>
        <w:pStyle w:val="P68B1DB1-Normal1"/>
        <w:jc w:val="center"/>
      </w:pPr>
      <w:r w:rsidRPr="00DB1F1D">
        <w:t>TABLA DE EVALUACIÓN TECNICA PARA LOS CONTRATOS ESPECÍFICOS DE PRECIO GLOBAL</w:t>
      </w:r>
    </w:p>
    <w:p w14:paraId="1C88AC98" w14:textId="77A5AE86" w:rsidR="0026127D" w:rsidRDefault="00F54C67">
      <w:pPr>
        <w:pStyle w:val="P68B1DB1-Normal1"/>
        <w:jc w:val="center"/>
      </w:pPr>
      <w:r>
        <w:t>Solicitud de contrato específico n.º SEA-2023 —</w:t>
      </w:r>
      <w:r>
        <w:rPr>
          <w:highlight w:val="lightGray"/>
        </w:rPr>
        <w:t>[Número]</w:t>
      </w:r>
    </w:p>
    <w:p w14:paraId="63BA59B1" w14:textId="77777777" w:rsidR="00B93BB9" w:rsidRDefault="00B93BB9">
      <w:pPr>
        <w:pStyle w:val="P68B1DB1-Normal1"/>
        <w:jc w:val="center"/>
      </w:pPr>
    </w:p>
    <w:p w14:paraId="665364A5" w14:textId="38DFD2F4" w:rsidR="0026127D" w:rsidRDefault="00B93BB9">
      <w:pPr>
        <w:pStyle w:val="P68B1DB1-Normal1"/>
        <w:jc w:val="center"/>
      </w:pPr>
      <w:r>
        <w:t xml:space="preserve">Contrato Marco SEA </w:t>
      </w:r>
      <w:r w:rsidR="00F54C67">
        <w:t xml:space="preserve">2023 </w:t>
      </w:r>
    </w:p>
    <w:p w14:paraId="2848F798" w14:textId="40A3785C" w:rsidR="0026127D" w:rsidRDefault="00F54C67">
      <w:pPr>
        <w:pStyle w:val="P68B1DB1-Normal1"/>
        <w:jc w:val="center"/>
      </w:pPr>
      <w:r>
        <w:t xml:space="preserve">Lote </w:t>
      </w:r>
      <w:r>
        <w:rPr>
          <w:highlight w:val="lightGray"/>
        </w:rPr>
        <w:t>[Número</w:t>
      </w:r>
      <w:r>
        <w:t xml:space="preserve">]: </w:t>
      </w:r>
      <w:r>
        <w:rPr>
          <w:highlight w:val="lightGray"/>
        </w:rPr>
        <w:t>[Título</w:t>
      </w:r>
      <w:r>
        <w:t>]</w:t>
      </w:r>
    </w:p>
    <w:p w14:paraId="5E9806FE" w14:textId="124F3A0B" w:rsidR="0026127D" w:rsidRDefault="00F54C67">
      <w:pPr>
        <w:pStyle w:val="P68B1DB1-Normal1"/>
        <w:jc w:val="center"/>
      </w:pPr>
      <w:r>
        <w:t>INTPA/2022/EA-OP/0102</w:t>
      </w:r>
    </w:p>
    <w:p w14:paraId="4251FA24" w14:textId="77777777" w:rsidR="0026127D" w:rsidRDefault="0026127D">
      <w:pPr>
        <w:rPr>
          <w:sz w:val="22"/>
        </w:rPr>
      </w:pPr>
    </w:p>
    <w:p w14:paraId="5837E32C" w14:textId="77777777" w:rsidR="0026127D" w:rsidRDefault="0026127D">
      <w:pPr>
        <w:pStyle w:val="Footer"/>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3"/>
        <w:gridCol w:w="1417"/>
        <w:gridCol w:w="1417"/>
      </w:tblGrid>
      <w:tr w:rsidR="0026127D" w14:paraId="55E22D51" w14:textId="77777777">
        <w:trPr>
          <w:cantSplit/>
          <w:jc w:val="center"/>
        </w:trPr>
        <w:tc>
          <w:tcPr>
            <w:tcW w:w="5963" w:type="dxa"/>
            <w:tcBorders>
              <w:top w:val="single" w:sz="4" w:space="0" w:color="auto"/>
              <w:left w:val="single" w:sz="4" w:space="0" w:color="auto"/>
              <w:bottom w:val="single" w:sz="4" w:space="0" w:color="auto"/>
              <w:right w:val="single" w:sz="4" w:space="0" w:color="auto"/>
            </w:tcBorders>
          </w:tcPr>
          <w:p w14:paraId="52900485" w14:textId="77777777" w:rsidR="0026127D" w:rsidRDefault="0026127D">
            <w:pPr>
              <w:rPr>
                <w:b/>
                <w:sz w:val="22"/>
              </w:rPr>
            </w:pPr>
          </w:p>
        </w:tc>
        <w:tc>
          <w:tcPr>
            <w:tcW w:w="1417" w:type="dxa"/>
            <w:tcBorders>
              <w:top w:val="single" w:sz="4" w:space="0" w:color="auto"/>
              <w:left w:val="single" w:sz="4" w:space="0" w:color="auto"/>
              <w:bottom w:val="single" w:sz="4" w:space="0" w:color="auto"/>
              <w:right w:val="single" w:sz="4" w:space="0" w:color="auto"/>
            </w:tcBorders>
          </w:tcPr>
          <w:p w14:paraId="7A0A4BE3" w14:textId="77777777" w:rsidR="0026127D" w:rsidRDefault="00F54C67">
            <w:pPr>
              <w:pStyle w:val="P68B1DB1-Normal1"/>
              <w:jc w:val="center"/>
            </w:pPr>
            <w:r>
              <w:t xml:space="preserve">Máximo </w:t>
            </w:r>
          </w:p>
        </w:tc>
        <w:tc>
          <w:tcPr>
            <w:tcW w:w="1417" w:type="dxa"/>
            <w:tcBorders>
              <w:top w:val="single" w:sz="4" w:space="0" w:color="auto"/>
              <w:left w:val="single" w:sz="4" w:space="0" w:color="auto"/>
              <w:bottom w:val="single" w:sz="4" w:space="0" w:color="auto"/>
              <w:right w:val="single" w:sz="4" w:space="0" w:color="auto"/>
            </w:tcBorders>
          </w:tcPr>
          <w:p w14:paraId="780E410B" w14:textId="77777777" w:rsidR="0026127D" w:rsidRDefault="00F54C67">
            <w:pPr>
              <w:pStyle w:val="P68B1DB1-Normal1"/>
              <w:jc w:val="center"/>
            </w:pPr>
            <w:r>
              <w:t>Puntuación</w:t>
            </w:r>
          </w:p>
        </w:tc>
      </w:tr>
      <w:tr w:rsidR="0026127D" w14:paraId="02CD58CB" w14:textId="77777777">
        <w:trPr>
          <w:cantSplit/>
          <w:jc w:val="center"/>
        </w:trPr>
        <w:tc>
          <w:tcPr>
            <w:tcW w:w="5963" w:type="dxa"/>
            <w:tcBorders>
              <w:top w:val="single" w:sz="4" w:space="0" w:color="auto"/>
              <w:left w:val="single" w:sz="4" w:space="0" w:color="auto"/>
              <w:bottom w:val="single" w:sz="4" w:space="0" w:color="auto"/>
              <w:right w:val="single" w:sz="4" w:space="0" w:color="auto"/>
            </w:tcBorders>
          </w:tcPr>
          <w:p w14:paraId="60F17309" w14:textId="77777777" w:rsidR="0026127D" w:rsidRDefault="00F54C67">
            <w:pPr>
              <w:pStyle w:val="P68B1DB1-Normal1"/>
            </w:pPr>
            <w:r>
              <w:t>Organización y metodología:</w:t>
            </w:r>
          </w:p>
        </w:tc>
        <w:tc>
          <w:tcPr>
            <w:tcW w:w="1417" w:type="dxa"/>
            <w:tcBorders>
              <w:top w:val="single" w:sz="4" w:space="0" w:color="auto"/>
              <w:left w:val="single" w:sz="4" w:space="0" w:color="auto"/>
              <w:bottom w:val="single" w:sz="4" w:space="0" w:color="auto"/>
              <w:right w:val="single" w:sz="4" w:space="0" w:color="auto"/>
            </w:tcBorders>
          </w:tcPr>
          <w:p w14:paraId="29D70EB7" w14:textId="77777777" w:rsidR="0026127D" w:rsidRDefault="0026127D">
            <w:pPr>
              <w:jc w:val="center"/>
              <w:rPr>
                <w:b/>
                <w:sz w:val="22"/>
              </w:rPr>
            </w:pPr>
          </w:p>
        </w:tc>
        <w:tc>
          <w:tcPr>
            <w:tcW w:w="1417" w:type="dxa"/>
            <w:tcBorders>
              <w:top w:val="single" w:sz="4" w:space="0" w:color="auto"/>
              <w:left w:val="single" w:sz="4" w:space="0" w:color="auto"/>
              <w:bottom w:val="single" w:sz="4" w:space="0" w:color="auto"/>
              <w:right w:val="single" w:sz="4" w:space="0" w:color="auto"/>
            </w:tcBorders>
          </w:tcPr>
          <w:p w14:paraId="3A5C5248" w14:textId="77777777" w:rsidR="0026127D" w:rsidRDefault="0026127D">
            <w:pPr>
              <w:jc w:val="center"/>
              <w:rPr>
                <w:b/>
                <w:sz w:val="22"/>
              </w:rPr>
            </w:pPr>
          </w:p>
        </w:tc>
      </w:tr>
      <w:tr w:rsidR="0026127D" w14:paraId="685117C0" w14:textId="77777777">
        <w:trPr>
          <w:cantSplit/>
          <w:jc w:val="center"/>
        </w:trPr>
        <w:tc>
          <w:tcPr>
            <w:tcW w:w="5963" w:type="dxa"/>
            <w:tcBorders>
              <w:top w:val="single" w:sz="4" w:space="0" w:color="auto"/>
              <w:left w:val="single" w:sz="4" w:space="0" w:color="auto"/>
              <w:bottom w:val="single" w:sz="4" w:space="0" w:color="auto"/>
              <w:right w:val="single" w:sz="4" w:space="0" w:color="auto"/>
            </w:tcBorders>
          </w:tcPr>
          <w:p w14:paraId="1AD425E9" w14:textId="77777777" w:rsidR="0026127D" w:rsidRDefault="0026127D">
            <w:pPr>
              <w:rPr>
                <w:sz w:val="22"/>
              </w:rPr>
            </w:pPr>
          </w:p>
        </w:tc>
        <w:tc>
          <w:tcPr>
            <w:tcW w:w="1417" w:type="dxa"/>
            <w:tcBorders>
              <w:top w:val="single" w:sz="4" w:space="0" w:color="auto"/>
              <w:left w:val="single" w:sz="4" w:space="0" w:color="auto"/>
              <w:bottom w:val="single" w:sz="4" w:space="0" w:color="auto"/>
              <w:right w:val="single" w:sz="4" w:space="0" w:color="auto"/>
            </w:tcBorders>
          </w:tcPr>
          <w:p w14:paraId="57BF1E08" w14:textId="77777777" w:rsidR="0026127D" w:rsidRDefault="0026127D">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14:paraId="59F00733" w14:textId="77777777" w:rsidR="0026127D" w:rsidRDefault="0026127D">
            <w:pPr>
              <w:jc w:val="center"/>
              <w:rPr>
                <w:sz w:val="22"/>
              </w:rPr>
            </w:pPr>
          </w:p>
        </w:tc>
      </w:tr>
      <w:tr w:rsidR="0026127D" w14:paraId="08A34D4A" w14:textId="77777777">
        <w:trPr>
          <w:cantSplit/>
          <w:jc w:val="center"/>
        </w:trPr>
        <w:tc>
          <w:tcPr>
            <w:tcW w:w="5963" w:type="dxa"/>
            <w:tcBorders>
              <w:top w:val="single" w:sz="4" w:space="0" w:color="auto"/>
              <w:left w:val="single" w:sz="4" w:space="0" w:color="auto"/>
              <w:bottom w:val="single" w:sz="4" w:space="0" w:color="auto"/>
              <w:right w:val="single" w:sz="4" w:space="0" w:color="auto"/>
            </w:tcBorders>
          </w:tcPr>
          <w:p w14:paraId="0A0913FE" w14:textId="72F9C634" w:rsidR="0026127D" w:rsidRDefault="00F54C67">
            <w:pPr>
              <w:pStyle w:val="P68B1DB1-Normal1"/>
              <w:numPr>
                <w:ilvl w:val="0"/>
                <w:numId w:val="2"/>
              </w:numPr>
            </w:pPr>
            <w:r>
              <w:t>Justificación</w:t>
            </w:r>
          </w:p>
        </w:tc>
        <w:tc>
          <w:tcPr>
            <w:tcW w:w="1417" w:type="dxa"/>
            <w:tcBorders>
              <w:top w:val="single" w:sz="4" w:space="0" w:color="auto"/>
              <w:left w:val="single" w:sz="4" w:space="0" w:color="auto"/>
              <w:bottom w:val="single" w:sz="4" w:space="0" w:color="auto"/>
              <w:right w:val="single" w:sz="4" w:space="0" w:color="auto"/>
            </w:tcBorders>
          </w:tcPr>
          <w:p w14:paraId="1950B8B0" w14:textId="19F88212" w:rsidR="0026127D" w:rsidRDefault="00F54C67">
            <w:pPr>
              <w:pStyle w:val="P68B1DB1-Normal1"/>
              <w:jc w:val="center"/>
            </w:pPr>
            <w:r>
              <w:rPr>
                <w:highlight w:val="lightGray"/>
              </w:rPr>
              <w:t>[20] [</w:t>
            </w:r>
            <w:r w:rsidR="001B28E2">
              <w:rPr>
                <w:highlight w:val="lightGray"/>
              </w:rPr>
              <w:t>&lt;</w:t>
            </w:r>
            <w:r>
              <w:rPr>
                <w:highlight w:val="yellow"/>
              </w:rPr>
              <w:t>otros</w:t>
            </w:r>
            <w:r>
              <w:rPr>
                <w:highlight w:val="lightGray"/>
              </w:rPr>
              <w:t>&gt;]</w:t>
            </w:r>
          </w:p>
        </w:tc>
        <w:tc>
          <w:tcPr>
            <w:tcW w:w="1417" w:type="dxa"/>
            <w:tcBorders>
              <w:top w:val="single" w:sz="4" w:space="0" w:color="auto"/>
              <w:left w:val="single" w:sz="4" w:space="0" w:color="auto"/>
              <w:bottom w:val="single" w:sz="4" w:space="0" w:color="auto"/>
              <w:right w:val="single" w:sz="4" w:space="0" w:color="auto"/>
            </w:tcBorders>
          </w:tcPr>
          <w:p w14:paraId="48CA015E" w14:textId="77777777" w:rsidR="0026127D" w:rsidRDefault="0026127D">
            <w:pPr>
              <w:jc w:val="center"/>
              <w:rPr>
                <w:b/>
                <w:sz w:val="22"/>
              </w:rPr>
            </w:pPr>
          </w:p>
        </w:tc>
      </w:tr>
      <w:tr w:rsidR="0026127D" w14:paraId="52463198" w14:textId="77777777">
        <w:trPr>
          <w:cantSplit/>
          <w:jc w:val="center"/>
        </w:trPr>
        <w:tc>
          <w:tcPr>
            <w:tcW w:w="5963" w:type="dxa"/>
            <w:tcBorders>
              <w:top w:val="single" w:sz="4" w:space="0" w:color="auto"/>
              <w:left w:val="single" w:sz="4" w:space="0" w:color="auto"/>
              <w:bottom w:val="single" w:sz="4" w:space="0" w:color="auto"/>
              <w:right w:val="single" w:sz="4" w:space="0" w:color="auto"/>
            </w:tcBorders>
          </w:tcPr>
          <w:p w14:paraId="7BD8D710" w14:textId="77777777" w:rsidR="0026127D" w:rsidRDefault="0026127D">
            <w:pPr>
              <w:rPr>
                <w:b/>
                <w:sz w:val="22"/>
              </w:rPr>
            </w:pPr>
          </w:p>
        </w:tc>
        <w:tc>
          <w:tcPr>
            <w:tcW w:w="1417" w:type="dxa"/>
            <w:tcBorders>
              <w:top w:val="single" w:sz="4" w:space="0" w:color="auto"/>
              <w:left w:val="single" w:sz="4" w:space="0" w:color="auto"/>
              <w:bottom w:val="single" w:sz="4" w:space="0" w:color="auto"/>
              <w:right w:val="single" w:sz="4" w:space="0" w:color="auto"/>
            </w:tcBorders>
          </w:tcPr>
          <w:p w14:paraId="48BF7015" w14:textId="77777777" w:rsidR="0026127D" w:rsidRDefault="0026127D">
            <w:pPr>
              <w:jc w:val="center"/>
              <w:rPr>
                <w:b/>
                <w:sz w:val="22"/>
              </w:rPr>
            </w:pPr>
          </w:p>
        </w:tc>
        <w:tc>
          <w:tcPr>
            <w:tcW w:w="1417" w:type="dxa"/>
            <w:tcBorders>
              <w:top w:val="single" w:sz="4" w:space="0" w:color="auto"/>
              <w:left w:val="single" w:sz="4" w:space="0" w:color="auto"/>
              <w:bottom w:val="single" w:sz="4" w:space="0" w:color="auto"/>
              <w:right w:val="single" w:sz="4" w:space="0" w:color="auto"/>
            </w:tcBorders>
          </w:tcPr>
          <w:p w14:paraId="733BA56D" w14:textId="77777777" w:rsidR="0026127D" w:rsidRDefault="0026127D">
            <w:pPr>
              <w:jc w:val="center"/>
              <w:rPr>
                <w:sz w:val="22"/>
              </w:rPr>
            </w:pPr>
          </w:p>
        </w:tc>
      </w:tr>
      <w:tr w:rsidR="0026127D" w14:paraId="368281A3" w14:textId="77777777">
        <w:trPr>
          <w:cantSplit/>
          <w:jc w:val="center"/>
        </w:trPr>
        <w:tc>
          <w:tcPr>
            <w:tcW w:w="5963" w:type="dxa"/>
            <w:tcBorders>
              <w:top w:val="single" w:sz="4" w:space="0" w:color="auto"/>
              <w:left w:val="single" w:sz="4" w:space="0" w:color="auto"/>
              <w:bottom w:val="single" w:sz="4" w:space="0" w:color="auto"/>
              <w:right w:val="single" w:sz="4" w:space="0" w:color="auto"/>
            </w:tcBorders>
          </w:tcPr>
          <w:p w14:paraId="69E97CBE" w14:textId="731BA9C0" w:rsidR="0026127D" w:rsidRDefault="00F54C67">
            <w:pPr>
              <w:pStyle w:val="P68B1DB1-Normal1"/>
              <w:numPr>
                <w:ilvl w:val="0"/>
                <w:numId w:val="2"/>
              </w:numPr>
            </w:pPr>
            <w:r>
              <w:t>Estrategia y organización del trabajo</w:t>
            </w:r>
          </w:p>
        </w:tc>
        <w:tc>
          <w:tcPr>
            <w:tcW w:w="1417" w:type="dxa"/>
            <w:tcBorders>
              <w:top w:val="single" w:sz="4" w:space="0" w:color="auto"/>
              <w:left w:val="single" w:sz="4" w:space="0" w:color="auto"/>
              <w:bottom w:val="single" w:sz="4" w:space="0" w:color="auto"/>
              <w:right w:val="single" w:sz="4" w:space="0" w:color="auto"/>
            </w:tcBorders>
          </w:tcPr>
          <w:p w14:paraId="3D636DC6" w14:textId="13268806" w:rsidR="0026127D" w:rsidRDefault="00F54C67">
            <w:pPr>
              <w:pStyle w:val="P68B1DB1-Normal1"/>
              <w:jc w:val="center"/>
            </w:pPr>
            <w:r>
              <w:rPr>
                <w:highlight w:val="lightGray"/>
              </w:rPr>
              <w:t>[40] [</w:t>
            </w:r>
            <w:r w:rsidR="001B28E2">
              <w:rPr>
                <w:highlight w:val="lightGray"/>
              </w:rPr>
              <w:t>&lt;</w:t>
            </w:r>
            <w:r>
              <w:rPr>
                <w:highlight w:val="yellow"/>
              </w:rPr>
              <w:t>otros</w:t>
            </w:r>
            <w:r>
              <w:rPr>
                <w:highlight w:val="lightGray"/>
              </w:rPr>
              <w:t>&gt;]</w:t>
            </w:r>
          </w:p>
        </w:tc>
        <w:tc>
          <w:tcPr>
            <w:tcW w:w="1417" w:type="dxa"/>
            <w:tcBorders>
              <w:top w:val="single" w:sz="4" w:space="0" w:color="auto"/>
              <w:left w:val="single" w:sz="4" w:space="0" w:color="auto"/>
              <w:bottom w:val="single" w:sz="4" w:space="0" w:color="auto"/>
              <w:right w:val="single" w:sz="4" w:space="0" w:color="auto"/>
            </w:tcBorders>
          </w:tcPr>
          <w:p w14:paraId="2A771C39" w14:textId="77777777" w:rsidR="0026127D" w:rsidRDefault="0026127D">
            <w:pPr>
              <w:jc w:val="center"/>
              <w:rPr>
                <w:b/>
                <w:sz w:val="22"/>
              </w:rPr>
            </w:pPr>
          </w:p>
        </w:tc>
      </w:tr>
      <w:tr w:rsidR="0026127D" w14:paraId="798D3A90" w14:textId="77777777">
        <w:trPr>
          <w:cantSplit/>
          <w:jc w:val="center"/>
        </w:trPr>
        <w:tc>
          <w:tcPr>
            <w:tcW w:w="5963" w:type="dxa"/>
            <w:tcBorders>
              <w:top w:val="single" w:sz="4" w:space="0" w:color="auto"/>
              <w:left w:val="single" w:sz="4" w:space="0" w:color="auto"/>
              <w:bottom w:val="single" w:sz="4" w:space="0" w:color="auto"/>
              <w:right w:val="single" w:sz="4" w:space="0" w:color="auto"/>
            </w:tcBorders>
          </w:tcPr>
          <w:p w14:paraId="47B41644" w14:textId="77777777" w:rsidR="0026127D" w:rsidRDefault="0026127D">
            <w:pPr>
              <w:rPr>
                <w:b/>
                <w:sz w:val="22"/>
              </w:rPr>
            </w:pPr>
          </w:p>
        </w:tc>
        <w:tc>
          <w:tcPr>
            <w:tcW w:w="1417" w:type="dxa"/>
            <w:tcBorders>
              <w:top w:val="single" w:sz="4" w:space="0" w:color="auto"/>
              <w:left w:val="single" w:sz="4" w:space="0" w:color="auto"/>
              <w:bottom w:val="single" w:sz="4" w:space="0" w:color="auto"/>
              <w:right w:val="single" w:sz="4" w:space="0" w:color="auto"/>
            </w:tcBorders>
          </w:tcPr>
          <w:p w14:paraId="62C7168D" w14:textId="77777777" w:rsidR="0026127D" w:rsidRDefault="0026127D">
            <w:pPr>
              <w:jc w:val="center"/>
              <w:rPr>
                <w:b/>
                <w:sz w:val="22"/>
              </w:rPr>
            </w:pPr>
          </w:p>
        </w:tc>
        <w:tc>
          <w:tcPr>
            <w:tcW w:w="1417" w:type="dxa"/>
            <w:tcBorders>
              <w:top w:val="single" w:sz="4" w:space="0" w:color="auto"/>
              <w:left w:val="single" w:sz="4" w:space="0" w:color="auto"/>
              <w:bottom w:val="single" w:sz="4" w:space="0" w:color="auto"/>
              <w:right w:val="single" w:sz="4" w:space="0" w:color="auto"/>
            </w:tcBorders>
          </w:tcPr>
          <w:p w14:paraId="0AB915FD" w14:textId="77777777" w:rsidR="0026127D" w:rsidRDefault="0026127D">
            <w:pPr>
              <w:jc w:val="center"/>
              <w:rPr>
                <w:b/>
                <w:sz w:val="22"/>
              </w:rPr>
            </w:pPr>
          </w:p>
        </w:tc>
      </w:tr>
      <w:tr w:rsidR="0026127D" w14:paraId="12D99499" w14:textId="77777777">
        <w:trPr>
          <w:cantSplit/>
          <w:jc w:val="center"/>
        </w:trPr>
        <w:tc>
          <w:tcPr>
            <w:tcW w:w="5963" w:type="dxa"/>
            <w:tcBorders>
              <w:top w:val="single" w:sz="4" w:space="0" w:color="auto"/>
              <w:left w:val="single" w:sz="4" w:space="0" w:color="auto"/>
              <w:bottom w:val="single" w:sz="4" w:space="0" w:color="auto"/>
              <w:right w:val="single" w:sz="4" w:space="0" w:color="auto"/>
            </w:tcBorders>
          </w:tcPr>
          <w:p w14:paraId="3A0C943C" w14:textId="1876707C" w:rsidR="0026127D" w:rsidRDefault="001B28E2">
            <w:pPr>
              <w:pStyle w:val="P68B1DB1-Normal1"/>
              <w:numPr>
                <w:ilvl w:val="0"/>
                <w:numId w:val="2"/>
              </w:numPr>
            </w:pPr>
            <w:r w:rsidRPr="001B28E2">
              <w:rPr>
                <w:szCs w:val="22"/>
                <w:lang w:val="es-ES"/>
              </w:rPr>
              <w:t>Función de respaldo, función de los miembros implicados del consorcio, y garantía de calidad</w:t>
            </w:r>
          </w:p>
        </w:tc>
        <w:tc>
          <w:tcPr>
            <w:tcW w:w="1417" w:type="dxa"/>
            <w:tcBorders>
              <w:top w:val="single" w:sz="4" w:space="0" w:color="auto"/>
              <w:left w:val="single" w:sz="4" w:space="0" w:color="auto"/>
              <w:bottom w:val="single" w:sz="4" w:space="0" w:color="auto"/>
              <w:right w:val="single" w:sz="4" w:space="0" w:color="auto"/>
            </w:tcBorders>
          </w:tcPr>
          <w:p w14:paraId="0F9F8742" w14:textId="69D6C049" w:rsidR="0026127D" w:rsidRDefault="00F54C67">
            <w:pPr>
              <w:pStyle w:val="P68B1DB1-Normal1"/>
              <w:jc w:val="center"/>
            </w:pPr>
            <w:r>
              <w:rPr>
                <w:highlight w:val="lightGray"/>
              </w:rPr>
              <w:t>[20] [</w:t>
            </w:r>
            <w:r w:rsidR="001B28E2">
              <w:rPr>
                <w:highlight w:val="lightGray"/>
              </w:rPr>
              <w:t>&lt;</w:t>
            </w:r>
            <w:r>
              <w:rPr>
                <w:highlight w:val="yellow"/>
              </w:rPr>
              <w:t>otros</w:t>
            </w:r>
            <w:r>
              <w:rPr>
                <w:highlight w:val="lightGray"/>
              </w:rPr>
              <w:t>&gt;]</w:t>
            </w:r>
          </w:p>
        </w:tc>
        <w:tc>
          <w:tcPr>
            <w:tcW w:w="1417" w:type="dxa"/>
            <w:tcBorders>
              <w:top w:val="single" w:sz="4" w:space="0" w:color="auto"/>
              <w:left w:val="single" w:sz="4" w:space="0" w:color="auto"/>
              <w:bottom w:val="single" w:sz="4" w:space="0" w:color="auto"/>
              <w:right w:val="single" w:sz="4" w:space="0" w:color="auto"/>
            </w:tcBorders>
          </w:tcPr>
          <w:p w14:paraId="7614B10F" w14:textId="77777777" w:rsidR="0026127D" w:rsidRDefault="0026127D">
            <w:pPr>
              <w:jc w:val="center"/>
              <w:rPr>
                <w:b/>
                <w:sz w:val="22"/>
              </w:rPr>
            </w:pPr>
          </w:p>
        </w:tc>
      </w:tr>
      <w:tr w:rsidR="0026127D" w14:paraId="5DCCD15A" w14:textId="77777777">
        <w:trPr>
          <w:cantSplit/>
          <w:jc w:val="center"/>
        </w:trPr>
        <w:tc>
          <w:tcPr>
            <w:tcW w:w="5963" w:type="dxa"/>
            <w:tcBorders>
              <w:top w:val="single" w:sz="4" w:space="0" w:color="auto"/>
              <w:left w:val="single" w:sz="4" w:space="0" w:color="auto"/>
              <w:bottom w:val="single" w:sz="4" w:space="0" w:color="auto"/>
              <w:right w:val="single" w:sz="4" w:space="0" w:color="auto"/>
            </w:tcBorders>
          </w:tcPr>
          <w:p w14:paraId="402666B5" w14:textId="77777777" w:rsidR="0026127D" w:rsidRDefault="0026127D">
            <w:pPr>
              <w:rPr>
                <w:b/>
                <w:sz w:val="22"/>
              </w:rPr>
            </w:pPr>
          </w:p>
        </w:tc>
        <w:tc>
          <w:tcPr>
            <w:tcW w:w="1417" w:type="dxa"/>
            <w:tcBorders>
              <w:top w:val="single" w:sz="4" w:space="0" w:color="auto"/>
              <w:left w:val="single" w:sz="4" w:space="0" w:color="auto"/>
              <w:bottom w:val="single" w:sz="4" w:space="0" w:color="auto"/>
              <w:right w:val="single" w:sz="4" w:space="0" w:color="auto"/>
            </w:tcBorders>
          </w:tcPr>
          <w:p w14:paraId="1C3EFF47" w14:textId="77777777" w:rsidR="0026127D" w:rsidRDefault="0026127D">
            <w:pPr>
              <w:jc w:val="center"/>
              <w:rPr>
                <w:b/>
                <w:sz w:val="22"/>
              </w:rPr>
            </w:pPr>
          </w:p>
        </w:tc>
        <w:tc>
          <w:tcPr>
            <w:tcW w:w="1417" w:type="dxa"/>
            <w:tcBorders>
              <w:top w:val="single" w:sz="4" w:space="0" w:color="auto"/>
              <w:left w:val="single" w:sz="4" w:space="0" w:color="auto"/>
              <w:bottom w:val="single" w:sz="4" w:space="0" w:color="auto"/>
              <w:right w:val="single" w:sz="4" w:space="0" w:color="auto"/>
            </w:tcBorders>
          </w:tcPr>
          <w:p w14:paraId="37D4123F" w14:textId="77777777" w:rsidR="0026127D" w:rsidRDefault="0026127D">
            <w:pPr>
              <w:jc w:val="center"/>
              <w:rPr>
                <w:b/>
                <w:sz w:val="22"/>
              </w:rPr>
            </w:pPr>
          </w:p>
        </w:tc>
      </w:tr>
      <w:tr w:rsidR="0026127D" w14:paraId="581EF4F2" w14:textId="77777777">
        <w:trPr>
          <w:cantSplit/>
          <w:jc w:val="center"/>
        </w:trPr>
        <w:tc>
          <w:tcPr>
            <w:tcW w:w="5963" w:type="dxa"/>
            <w:tcBorders>
              <w:top w:val="single" w:sz="4" w:space="0" w:color="auto"/>
              <w:left w:val="single" w:sz="4" w:space="0" w:color="auto"/>
              <w:bottom w:val="single" w:sz="4" w:space="0" w:color="auto"/>
              <w:right w:val="single" w:sz="4" w:space="0" w:color="auto"/>
            </w:tcBorders>
          </w:tcPr>
          <w:p w14:paraId="15885B11" w14:textId="67032A15" w:rsidR="0026127D" w:rsidRDefault="00F54C67">
            <w:pPr>
              <w:pStyle w:val="P68B1DB1-Normal1"/>
              <w:numPr>
                <w:ilvl w:val="0"/>
                <w:numId w:val="2"/>
              </w:numPr>
            </w:pPr>
            <w:r>
              <w:t>Calendario de actividades</w:t>
            </w:r>
          </w:p>
        </w:tc>
        <w:tc>
          <w:tcPr>
            <w:tcW w:w="1417" w:type="dxa"/>
            <w:tcBorders>
              <w:top w:val="single" w:sz="4" w:space="0" w:color="auto"/>
              <w:left w:val="single" w:sz="4" w:space="0" w:color="auto"/>
              <w:bottom w:val="single" w:sz="4" w:space="0" w:color="auto"/>
              <w:right w:val="single" w:sz="4" w:space="0" w:color="auto"/>
            </w:tcBorders>
          </w:tcPr>
          <w:p w14:paraId="2B1A47D6" w14:textId="6153EEDE" w:rsidR="0026127D" w:rsidRDefault="00F54C67">
            <w:pPr>
              <w:pStyle w:val="P68B1DB1-Normal1"/>
              <w:jc w:val="center"/>
            </w:pPr>
            <w:r>
              <w:rPr>
                <w:highlight w:val="lightGray"/>
              </w:rPr>
              <w:t>[20] [</w:t>
            </w:r>
            <w:r w:rsidR="001B28E2">
              <w:rPr>
                <w:highlight w:val="lightGray"/>
              </w:rPr>
              <w:t>&lt;</w:t>
            </w:r>
            <w:r>
              <w:rPr>
                <w:highlight w:val="yellow"/>
              </w:rPr>
              <w:t>otros</w:t>
            </w:r>
            <w:r>
              <w:rPr>
                <w:highlight w:val="lightGray"/>
              </w:rPr>
              <w:t>&gt;]</w:t>
            </w:r>
          </w:p>
        </w:tc>
        <w:tc>
          <w:tcPr>
            <w:tcW w:w="1417" w:type="dxa"/>
            <w:tcBorders>
              <w:top w:val="single" w:sz="4" w:space="0" w:color="auto"/>
              <w:left w:val="single" w:sz="4" w:space="0" w:color="auto"/>
              <w:bottom w:val="single" w:sz="4" w:space="0" w:color="auto"/>
              <w:right w:val="single" w:sz="4" w:space="0" w:color="auto"/>
            </w:tcBorders>
          </w:tcPr>
          <w:p w14:paraId="2A429A1C" w14:textId="77777777" w:rsidR="0026127D" w:rsidRDefault="0026127D">
            <w:pPr>
              <w:jc w:val="center"/>
              <w:rPr>
                <w:b/>
                <w:sz w:val="22"/>
              </w:rPr>
            </w:pPr>
          </w:p>
        </w:tc>
      </w:tr>
      <w:tr w:rsidR="0026127D" w14:paraId="71AF187F" w14:textId="77777777">
        <w:trPr>
          <w:cantSplit/>
          <w:jc w:val="center"/>
        </w:trPr>
        <w:tc>
          <w:tcPr>
            <w:tcW w:w="5963" w:type="dxa"/>
            <w:tcBorders>
              <w:top w:val="single" w:sz="4" w:space="0" w:color="auto"/>
              <w:left w:val="single" w:sz="4" w:space="0" w:color="auto"/>
              <w:bottom w:val="single" w:sz="4" w:space="0" w:color="auto"/>
              <w:right w:val="single" w:sz="4" w:space="0" w:color="auto"/>
            </w:tcBorders>
          </w:tcPr>
          <w:p w14:paraId="36A7BA69" w14:textId="77777777" w:rsidR="0026127D" w:rsidRDefault="0026127D">
            <w:pPr>
              <w:rPr>
                <w:b/>
                <w:sz w:val="22"/>
              </w:rPr>
            </w:pPr>
          </w:p>
        </w:tc>
        <w:tc>
          <w:tcPr>
            <w:tcW w:w="1417" w:type="dxa"/>
            <w:tcBorders>
              <w:top w:val="single" w:sz="4" w:space="0" w:color="auto"/>
              <w:left w:val="single" w:sz="4" w:space="0" w:color="auto"/>
              <w:bottom w:val="single" w:sz="4" w:space="0" w:color="auto"/>
              <w:right w:val="single" w:sz="4" w:space="0" w:color="auto"/>
            </w:tcBorders>
          </w:tcPr>
          <w:p w14:paraId="5BA72775" w14:textId="77777777" w:rsidR="0026127D" w:rsidRDefault="0026127D">
            <w:pPr>
              <w:jc w:val="center"/>
              <w:rPr>
                <w:b/>
                <w:sz w:val="22"/>
              </w:rPr>
            </w:pPr>
          </w:p>
        </w:tc>
        <w:tc>
          <w:tcPr>
            <w:tcW w:w="1417" w:type="dxa"/>
            <w:tcBorders>
              <w:top w:val="single" w:sz="4" w:space="0" w:color="auto"/>
              <w:left w:val="single" w:sz="4" w:space="0" w:color="auto"/>
              <w:bottom w:val="single" w:sz="4" w:space="0" w:color="auto"/>
              <w:right w:val="single" w:sz="4" w:space="0" w:color="auto"/>
            </w:tcBorders>
          </w:tcPr>
          <w:p w14:paraId="36A1A120" w14:textId="77777777" w:rsidR="0026127D" w:rsidRDefault="0026127D">
            <w:pPr>
              <w:jc w:val="center"/>
              <w:rPr>
                <w:b/>
                <w:sz w:val="22"/>
              </w:rPr>
            </w:pPr>
          </w:p>
        </w:tc>
      </w:tr>
      <w:tr w:rsidR="0026127D" w14:paraId="1643D8AB" w14:textId="77777777">
        <w:trPr>
          <w:cantSplit/>
          <w:jc w:val="center"/>
        </w:trPr>
        <w:tc>
          <w:tcPr>
            <w:tcW w:w="5963" w:type="dxa"/>
            <w:tcBorders>
              <w:top w:val="single" w:sz="4" w:space="0" w:color="auto"/>
              <w:left w:val="single" w:sz="4" w:space="0" w:color="auto"/>
              <w:bottom w:val="single" w:sz="4" w:space="0" w:color="auto"/>
              <w:right w:val="single" w:sz="4" w:space="0" w:color="auto"/>
            </w:tcBorders>
          </w:tcPr>
          <w:p w14:paraId="654BB21A" w14:textId="77777777" w:rsidR="0026127D" w:rsidRDefault="00F54C67">
            <w:pPr>
              <w:pStyle w:val="P68B1DB1-Normal1"/>
            </w:pPr>
            <w:r>
              <w:t>Puntuación total global</w:t>
            </w:r>
          </w:p>
        </w:tc>
        <w:tc>
          <w:tcPr>
            <w:tcW w:w="1417" w:type="dxa"/>
            <w:tcBorders>
              <w:top w:val="single" w:sz="4" w:space="0" w:color="auto"/>
              <w:left w:val="single" w:sz="4" w:space="0" w:color="auto"/>
              <w:bottom w:val="single" w:sz="4" w:space="0" w:color="auto"/>
              <w:right w:val="single" w:sz="4" w:space="0" w:color="auto"/>
            </w:tcBorders>
          </w:tcPr>
          <w:p w14:paraId="23FC73ED" w14:textId="77777777" w:rsidR="0026127D" w:rsidRDefault="00F54C67">
            <w:pPr>
              <w:pStyle w:val="P68B1DB1-Normal1"/>
              <w:jc w:val="center"/>
            </w:pPr>
            <w:r>
              <w:t>100</w:t>
            </w:r>
          </w:p>
        </w:tc>
        <w:tc>
          <w:tcPr>
            <w:tcW w:w="1417" w:type="dxa"/>
            <w:tcBorders>
              <w:top w:val="single" w:sz="4" w:space="0" w:color="auto"/>
              <w:left w:val="single" w:sz="4" w:space="0" w:color="auto"/>
              <w:bottom w:val="single" w:sz="4" w:space="0" w:color="auto"/>
              <w:right w:val="single" w:sz="4" w:space="0" w:color="auto"/>
            </w:tcBorders>
          </w:tcPr>
          <w:p w14:paraId="26F814D4" w14:textId="77777777" w:rsidR="0026127D" w:rsidRDefault="0026127D">
            <w:pPr>
              <w:jc w:val="center"/>
              <w:rPr>
                <w:b/>
                <w:sz w:val="22"/>
              </w:rPr>
            </w:pPr>
          </w:p>
        </w:tc>
      </w:tr>
    </w:tbl>
    <w:p w14:paraId="7312FCE7" w14:textId="77777777" w:rsidR="0026127D" w:rsidRDefault="0026127D">
      <w:pPr>
        <w:pStyle w:val="Footer"/>
        <w:rPr>
          <w:b/>
          <w:sz w:val="20"/>
        </w:rPr>
      </w:pPr>
    </w:p>
    <w:p w14:paraId="3A7D15AA" w14:textId="77777777" w:rsidR="0026127D" w:rsidRDefault="0026127D">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513"/>
      </w:tblGrid>
      <w:tr w:rsidR="0026127D" w14:paraId="22FDE0C4" w14:textId="77777777">
        <w:trPr>
          <w:trHeight w:val="379"/>
          <w:jc w:val="center"/>
        </w:trPr>
        <w:tc>
          <w:tcPr>
            <w:tcW w:w="1384" w:type="dxa"/>
            <w:shd w:val="pct10" w:color="auto" w:fill="FFFFFF"/>
            <w:vAlign w:val="center"/>
          </w:tcPr>
          <w:p w14:paraId="6BB4FC63" w14:textId="77777777" w:rsidR="0026127D" w:rsidRDefault="00F54C67">
            <w:pPr>
              <w:pStyle w:val="P68B1DB1-Normal1"/>
              <w:spacing w:before="120" w:after="120"/>
            </w:pPr>
            <w:r>
              <w:t>Fortalezas</w:t>
            </w:r>
          </w:p>
        </w:tc>
        <w:tc>
          <w:tcPr>
            <w:tcW w:w="7513" w:type="dxa"/>
            <w:vAlign w:val="center"/>
          </w:tcPr>
          <w:p w14:paraId="194355CF" w14:textId="77777777" w:rsidR="0026127D" w:rsidRDefault="0026127D">
            <w:pPr>
              <w:spacing w:before="40" w:after="40"/>
              <w:rPr>
                <w:sz w:val="22"/>
              </w:rPr>
            </w:pPr>
          </w:p>
          <w:p w14:paraId="473F92C8" w14:textId="77777777" w:rsidR="0026127D" w:rsidRDefault="0026127D">
            <w:pPr>
              <w:spacing w:before="40" w:after="40"/>
              <w:rPr>
                <w:sz w:val="22"/>
              </w:rPr>
            </w:pPr>
          </w:p>
          <w:p w14:paraId="6CEEDF6A" w14:textId="77777777" w:rsidR="0026127D" w:rsidRDefault="0026127D">
            <w:pPr>
              <w:spacing w:before="40" w:after="40"/>
              <w:rPr>
                <w:sz w:val="22"/>
              </w:rPr>
            </w:pPr>
          </w:p>
        </w:tc>
      </w:tr>
      <w:tr w:rsidR="0026127D" w14:paraId="6CCAAA40" w14:textId="77777777">
        <w:trPr>
          <w:jc w:val="center"/>
        </w:trPr>
        <w:tc>
          <w:tcPr>
            <w:tcW w:w="1384" w:type="dxa"/>
            <w:shd w:val="pct10" w:color="auto" w:fill="FFFFFF"/>
            <w:vAlign w:val="center"/>
          </w:tcPr>
          <w:p w14:paraId="00A49167" w14:textId="77777777" w:rsidR="0026127D" w:rsidRDefault="00F54C67">
            <w:pPr>
              <w:pStyle w:val="P68B1DB1-Normal1"/>
              <w:spacing w:before="120" w:after="120"/>
            </w:pPr>
            <w:r>
              <w:t>Debilidades</w:t>
            </w:r>
          </w:p>
        </w:tc>
        <w:tc>
          <w:tcPr>
            <w:tcW w:w="7513" w:type="dxa"/>
            <w:vAlign w:val="center"/>
          </w:tcPr>
          <w:p w14:paraId="446AD9DC" w14:textId="77777777" w:rsidR="0026127D" w:rsidRDefault="0026127D">
            <w:pPr>
              <w:spacing w:before="40" w:after="40"/>
              <w:rPr>
                <w:sz w:val="22"/>
              </w:rPr>
            </w:pPr>
          </w:p>
          <w:p w14:paraId="5234A4AA" w14:textId="77777777" w:rsidR="0026127D" w:rsidRDefault="0026127D">
            <w:pPr>
              <w:spacing w:before="40" w:after="40"/>
              <w:rPr>
                <w:sz w:val="22"/>
              </w:rPr>
            </w:pPr>
          </w:p>
          <w:p w14:paraId="489DE799" w14:textId="77777777" w:rsidR="0026127D" w:rsidRDefault="0026127D">
            <w:pPr>
              <w:spacing w:before="40" w:after="40"/>
              <w:rPr>
                <w:sz w:val="22"/>
              </w:rPr>
            </w:pPr>
          </w:p>
        </w:tc>
      </w:tr>
    </w:tbl>
    <w:p w14:paraId="35F25901" w14:textId="77777777" w:rsidR="0026127D" w:rsidRDefault="0026127D">
      <w:pPr>
        <w:pStyle w:val="Footer"/>
      </w:pPr>
    </w:p>
    <w:p w14:paraId="2D4D49AA" w14:textId="77777777" w:rsidR="0026127D" w:rsidRDefault="0026127D">
      <w:pPr>
        <w:pStyle w:val="Footer"/>
      </w:pPr>
    </w:p>
    <w:p w14:paraId="74CA08F2" w14:textId="77777777" w:rsidR="0026127D" w:rsidRDefault="00F54C67">
      <w:pPr>
        <w:pStyle w:val="P68B1DB1-Footer2"/>
      </w:pPr>
      <w:r>
        <w:t>NOTA:</w:t>
      </w:r>
    </w:p>
    <w:p w14:paraId="090FD17B" w14:textId="47ED45B4" w:rsidR="0026127D" w:rsidRDefault="00F54C67">
      <w:pPr>
        <w:pStyle w:val="Footer"/>
      </w:pPr>
      <w:r>
        <w:rPr>
          <w:b/>
        </w:rPr>
        <w:t>Solo podrán optar a la evaluación financiera las ofertas con una puntuación media de al menos 75 puntos</w:t>
      </w:r>
      <w:r>
        <w:t>.</w:t>
      </w:r>
    </w:p>
    <w:p w14:paraId="51344664" w14:textId="77777777" w:rsidR="0026127D" w:rsidRDefault="0026127D">
      <w:pPr>
        <w:rPr>
          <w:sz w:val="22"/>
        </w:rPr>
      </w:pPr>
    </w:p>
    <w:p w14:paraId="5D7D3B53" w14:textId="77777777" w:rsidR="0026127D" w:rsidRDefault="0026127D">
      <w:pPr>
        <w:rPr>
          <w:sz w:val="22"/>
        </w:rPr>
      </w:pPr>
    </w:p>
    <w:p w14:paraId="2859C68E" w14:textId="77777777" w:rsidR="0026127D" w:rsidRDefault="00F54C67">
      <w:pPr>
        <w:pStyle w:val="P68B1DB1-Header3"/>
        <w:shd w:val="clear" w:color="auto" w:fill="FFFF00"/>
        <w:tabs>
          <w:tab w:val="clear" w:pos="8306"/>
        </w:tabs>
        <w:spacing w:after="120"/>
        <w:ind w:right="-192"/>
        <w:jc w:val="both"/>
        <w:rPr>
          <w:i/>
        </w:rPr>
      </w:pPr>
      <w:r>
        <w:t>Cómo utilizar esta tabla de evaluación:</w:t>
      </w:r>
      <w:r>
        <w:rPr>
          <w:i/>
        </w:rPr>
        <w:t xml:space="preserve"> </w:t>
      </w:r>
    </w:p>
    <w:p w14:paraId="1723028A" w14:textId="112FB499" w:rsidR="0026127D" w:rsidRDefault="00F54C67">
      <w:pPr>
        <w:pStyle w:val="P68B1DB1-Header3"/>
        <w:numPr>
          <w:ilvl w:val="0"/>
          <w:numId w:val="1"/>
        </w:numPr>
        <w:shd w:val="clear" w:color="auto" w:fill="FFFF00"/>
        <w:tabs>
          <w:tab w:val="clear" w:pos="4153"/>
          <w:tab w:val="clear" w:pos="8306"/>
          <w:tab w:val="right" w:pos="709"/>
        </w:tabs>
        <w:spacing w:after="120"/>
        <w:ind w:right="-192"/>
        <w:jc w:val="both"/>
        <w:rPr>
          <w:highlight w:val="yellow"/>
        </w:rPr>
      </w:pPr>
      <w:r>
        <w:tab/>
        <w:t xml:space="preserve">Los cuatro criterios principales para evaluar la organización y la metodología </w:t>
      </w:r>
      <w:r>
        <w:rPr>
          <w:b/>
          <w:u w:val="single"/>
        </w:rPr>
        <w:t>pueden no modificarse</w:t>
      </w:r>
      <w:r>
        <w:t xml:space="preserve"> si se han solicitado requisitos </w:t>
      </w:r>
      <w:r>
        <w:rPr>
          <w:highlight w:val="yellow"/>
        </w:rPr>
        <w:t>mínimos para el equipo de expertos: no existe una evaluación individual de los perfiles de los expertos en un contrato de precio global. La evaluación del equipo en su conjunto forma parte de la evaluación de la estrategia y la organización del trabajo.</w:t>
      </w:r>
    </w:p>
    <w:p w14:paraId="6EEC810D" w14:textId="46D022DE" w:rsidR="0026127D" w:rsidRDefault="00F54C67">
      <w:pPr>
        <w:pStyle w:val="P68B1DB1-Header4"/>
        <w:numPr>
          <w:ilvl w:val="0"/>
          <w:numId w:val="1"/>
        </w:numPr>
        <w:shd w:val="clear" w:color="auto" w:fill="FFFF00"/>
        <w:tabs>
          <w:tab w:val="clear" w:pos="4153"/>
          <w:tab w:val="clear" w:pos="8306"/>
          <w:tab w:val="right" w:pos="709"/>
        </w:tabs>
        <w:spacing w:after="120"/>
        <w:ind w:right="-192"/>
        <w:jc w:val="both"/>
      </w:pPr>
      <w:r>
        <w:t xml:space="preserve">Los puntos fuertes y débiles deben ser los comúnmente acordados por el comité de evaluación entre todos los señalados por los evaluadores en sus propias tablas.  </w:t>
      </w:r>
    </w:p>
    <w:p w14:paraId="3482D8E0" w14:textId="39D67F75" w:rsidR="0026127D" w:rsidRDefault="00F54C67">
      <w:pPr>
        <w:pStyle w:val="P68B1DB1-Header4"/>
        <w:numPr>
          <w:ilvl w:val="0"/>
          <w:numId w:val="1"/>
        </w:numPr>
        <w:shd w:val="clear" w:color="auto" w:fill="FFFF00"/>
        <w:tabs>
          <w:tab w:val="clear" w:pos="4153"/>
          <w:tab w:val="clear" w:pos="8306"/>
          <w:tab w:val="right" w:pos="709"/>
        </w:tabs>
        <w:spacing w:after="120"/>
        <w:ind w:right="-192"/>
        <w:jc w:val="both"/>
      </w:pPr>
      <w:r>
        <w:t>La puntuación total debe seguir siendo 100.</w:t>
      </w:r>
    </w:p>
    <w:p w14:paraId="07380E39" w14:textId="63970784" w:rsidR="0026127D" w:rsidRDefault="00F54C67">
      <w:pPr>
        <w:pStyle w:val="P68B1DB1-Header5"/>
        <w:numPr>
          <w:ilvl w:val="0"/>
          <w:numId w:val="1"/>
        </w:numPr>
        <w:shd w:val="clear" w:color="auto" w:fill="FFFF00"/>
        <w:tabs>
          <w:tab w:val="clear" w:pos="4153"/>
          <w:tab w:val="clear" w:pos="8306"/>
          <w:tab w:val="right" w:pos="709"/>
        </w:tabs>
        <w:spacing w:after="120"/>
        <w:ind w:right="-192"/>
        <w:jc w:val="both"/>
      </w:pPr>
      <w:r>
        <w:t>Suprímase este texto destacado.</w:t>
      </w:r>
    </w:p>
    <w:sectPr w:rsidR="0026127D">
      <w:headerReference w:type="even" r:id="rId11"/>
      <w:headerReference w:type="default" r:id="rId12"/>
      <w:footerReference w:type="even" r:id="rId13"/>
      <w:footerReference w:type="default" r:id="rId14"/>
      <w:headerReference w:type="first" r:id="rId15"/>
      <w:footerReference w:type="first" r:id="rId16"/>
      <w:pgSz w:w="11907" w:h="16840" w:code="9"/>
      <w:pgMar w:top="1246" w:right="1797" w:bottom="1440" w:left="1797" w:header="720" w:footer="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487C" w14:textId="77777777" w:rsidR="0026127D" w:rsidRDefault="00F54C67">
      <w:r>
        <w:separator/>
      </w:r>
    </w:p>
  </w:endnote>
  <w:endnote w:type="continuationSeparator" w:id="0">
    <w:p w14:paraId="2D1C046B" w14:textId="77777777" w:rsidR="0026127D" w:rsidRDefault="00F5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6276" w14:textId="77777777" w:rsidR="00F54C67" w:rsidRDefault="00F54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F235" w14:textId="2EC0AAF2" w:rsidR="0026127D" w:rsidRDefault="00F54C67">
    <w:pPr>
      <w:pStyle w:val="P68B1DB1-Footer6"/>
    </w:pPr>
    <w:r>
      <w:t>FWC SEA 2023 — Tabla de evaluación de contratos específicos de precios globales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4CC1" w14:textId="77777777" w:rsidR="00F54C67" w:rsidRDefault="00F54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FF54" w14:textId="77777777" w:rsidR="0026127D" w:rsidRDefault="00F54C67">
      <w:r>
        <w:separator/>
      </w:r>
    </w:p>
  </w:footnote>
  <w:footnote w:type="continuationSeparator" w:id="0">
    <w:p w14:paraId="41960AC0" w14:textId="77777777" w:rsidR="0026127D" w:rsidRDefault="00F5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8582" w14:textId="77777777" w:rsidR="00F54C67" w:rsidRDefault="00F54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C9A3" w14:textId="02ECE6DE" w:rsidR="0026127D" w:rsidRPr="00DB1F1D" w:rsidRDefault="00DB1F1D" w:rsidP="00DB1F1D">
    <w:pPr>
      <w:pStyle w:val="Header"/>
      <w:jc w:val="right"/>
    </w:pPr>
    <w:r>
      <w:t>Versión 14/03/24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1F25" w14:textId="77777777" w:rsidR="00F54C67" w:rsidRDefault="00F54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52ED2"/>
    <w:multiLevelType w:val="hybridMultilevel"/>
    <w:tmpl w:val="D25812C6"/>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F388B"/>
    <w:multiLevelType w:val="hybridMultilevel"/>
    <w:tmpl w:val="58E01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84015110">
    <w:abstractNumId w:val="0"/>
  </w:num>
  <w:num w:numId="2" w16cid:durableId="2019886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DF404F"/>
    <w:rsid w:val="00023F45"/>
    <w:rsid w:val="000404D6"/>
    <w:rsid w:val="00094838"/>
    <w:rsid w:val="000969B9"/>
    <w:rsid w:val="000A68A0"/>
    <w:rsid w:val="000B17D4"/>
    <w:rsid w:val="000B1C9A"/>
    <w:rsid w:val="000C60B0"/>
    <w:rsid w:val="000F363A"/>
    <w:rsid w:val="0010353C"/>
    <w:rsid w:val="0010663B"/>
    <w:rsid w:val="001109C0"/>
    <w:rsid w:val="001375B0"/>
    <w:rsid w:val="00145454"/>
    <w:rsid w:val="00194FB4"/>
    <w:rsid w:val="0019702C"/>
    <w:rsid w:val="001B28E2"/>
    <w:rsid w:val="001D4288"/>
    <w:rsid w:val="001E2683"/>
    <w:rsid w:val="001E3DE2"/>
    <w:rsid w:val="001F1595"/>
    <w:rsid w:val="00220522"/>
    <w:rsid w:val="00222B6A"/>
    <w:rsid w:val="0024619C"/>
    <w:rsid w:val="002525ED"/>
    <w:rsid w:val="0026127D"/>
    <w:rsid w:val="002676BF"/>
    <w:rsid w:val="00282C14"/>
    <w:rsid w:val="002A4A4A"/>
    <w:rsid w:val="002D5433"/>
    <w:rsid w:val="002E2EAE"/>
    <w:rsid w:val="002F3189"/>
    <w:rsid w:val="00300592"/>
    <w:rsid w:val="00324A1E"/>
    <w:rsid w:val="00374F80"/>
    <w:rsid w:val="00376664"/>
    <w:rsid w:val="003807C4"/>
    <w:rsid w:val="003A024A"/>
    <w:rsid w:val="003A48D1"/>
    <w:rsid w:val="003C678D"/>
    <w:rsid w:val="003F3352"/>
    <w:rsid w:val="00413BA9"/>
    <w:rsid w:val="00430315"/>
    <w:rsid w:val="00445790"/>
    <w:rsid w:val="004642BF"/>
    <w:rsid w:val="00467D6B"/>
    <w:rsid w:val="0048087C"/>
    <w:rsid w:val="00494E91"/>
    <w:rsid w:val="004B022F"/>
    <w:rsid w:val="004D0E5A"/>
    <w:rsid w:val="0050149A"/>
    <w:rsid w:val="0053409D"/>
    <w:rsid w:val="00534843"/>
    <w:rsid w:val="00544970"/>
    <w:rsid w:val="00545DFB"/>
    <w:rsid w:val="005742DA"/>
    <w:rsid w:val="00576F4A"/>
    <w:rsid w:val="00592E86"/>
    <w:rsid w:val="005B30FE"/>
    <w:rsid w:val="005B41E3"/>
    <w:rsid w:val="005C604B"/>
    <w:rsid w:val="005E1430"/>
    <w:rsid w:val="006031F6"/>
    <w:rsid w:val="006127A4"/>
    <w:rsid w:val="00617C96"/>
    <w:rsid w:val="00620332"/>
    <w:rsid w:val="00694FDA"/>
    <w:rsid w:val="006A6928"/>
    <w:rsid w:val="006B251A"/>
    <w:rsid w:val="006F138D"/>
    <w:rsid w:val="006F4042"/>
    <w:rsid w:val="007215F4"/>
    <w:rsid w:val="00724A05"/>
    <w:rsid w:val="00725E8A"/>
    <w:rsid w:val="00740EEA"/>
    <w:rsid w:val="00753DB2"/>
    <w:rsid w:val="00754279"/>
    <w:rsid w:val="007776B8"/>
    <w:rsid w:val="007A3C48"/>
    <w:rsid w:val="007B2B06"/>
    <w:rsid w:val="007B7D83"/>
    <w:rsid w:val="007C2859"/>
    <w:rsid w:val="007E4B25"/>
    <w:rsid w:val="008044A1"/>
    <w:rsid w:val="00831175"/>
    <w:rsid w:val="00843B61"/>
    <w:rsid w:val="0085417A"/>
    <w:rsid w:val="008755C8"/>
    <w:rsid w:val="00885C78"/>
    <w:rsid w:val="0092371D"/>
    <w:rsid w:val="00940341"/>
    <w:rsid w:val="00941599"/>
    <w:rsid w:val="00983FD8"/>
    <w:rsid w:val="00987DD0"/>
    <w:rsid w:val="009A045D"/>
    <w:rsid w:val="009B4B43"/>
    <w:rsid w:val="009F3A06"/>
    <w:rsid w:val="009F7836"/>
    <w:rsid w:val="00A03F11"/>
    <w:rsid w:val="00A345FD"/>
    <w:rsid w:val="00A4454E"/>
    <w:rsid w:val="00A612B5"/>
    <w:rsid w:val="00A64C1A"/>
    <w:rsid w:val="00A67B27"/>
    <w:rsid w:val="00A91511"/>
    <w:rsid w:val="00AA2569"/>
    <w:rsid w:val="00AC2171"/>
    <w:rsid w:val="00AC7C21"/>
    <w:rsid w:val="00AD245D"/>
    <w:rsid w:val="00AD32C3"/>
    <w:rsid w:val="00AD656A"/>
    <w:rsid w:val="00AE0199"/>
    <w:rsid w:val="00B22296"/>
    <w:rsid w:val="00B4356E"/>
    <w:rsid w:val="00B5130B"/>
    <w:rsid w:val="00B92C64"/>
    <w:rsid w:val="00B93BB9"/>
    <w:rsid w:val="00BC47FD"/>
    <w:rsid w:val="00BE57B3"/>
    <w:rsid w:val="00C009F7"/>
    <w:rsid w:val="00C03EEA"/>
    <w:rsid w:val="00C04101"/>
    <w:rsid w:val="00C53EDA"/>
    <w:rsid w:val="00C61D94"/>
    <w:rsid w:val="00C74313"/>
    <w:rsid w:val="00C906F1"/>
    <w:rsid w:val="00CC082B"/>
    <w:rsid w:val="00CC3981"/>
    <w:rsid w:val="00CC72B7"/>
    <w:rsid w:val="00CF12E4"/>
    <w:rsid w:val="00D1109D"/>
    <w:rsid w:val="00D7253C"/>
    <w:rsid w:val="00D87E1E"/>
    <w:rsid w:val="00DA4734"/>
    <w:rsid w:val="00DB1F1D"/>
    <w:rsid w:val="00DD4E75"/>
    <w:rsid w:val="00DE32C5"/>
    <w:rsid w:val="00DF1C99"/>
    <w:rsid w:val="00DF404F"/>
    <w:rsid w:val="00E008B3"/>
    <w:rsid w:val="00E07798"/>
    <w:rsid w:val="00E32803"/>
    <w:rsid w:val="00E55104"/>
    <w:rsid w:val="00E57F80"/>
    <w:rsid w:val="00EA6EF2"/>
    <w:rsid w:val="00EA7359"/>
    <w:rsid w:val="00EF7E1C"/>
    <w:rsid w:val="00F501B9"/>
    <w:rsid w:val="00F52416"/>
    <w:rsid w:val="00F54C67"/>
    <w:rsid w:val="00FB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EDFDDEB"/>
  <w15:chartTrackingRefBased/>
  <w15:docId w15:val="{88346392-1C89-41D7-B9AD-72D0EED5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s"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sid w:val="00FB02EF"/>
    <w:rPr>
      <w:rFonts w:ascii="Tahoma" w:hAnsi="Tahoma" w:cs="Tahoma"/>
      <w:sz w:val="16"/>
    </w:rPr>
  </w:style>
  <w:style w:type="character" w:styleId="PageNumber">
    <w:name w:val="page number"/>
    <w:basedOn w:val="DefaultParagraphFont"/>
    <w:rsid w:val="00FB02EF"/>
  </w:style>
  <w:style w:type="character" w:customStyle="1" w:styleId="HeaderChar">
    <w:name w:val="Header Char"/>
    <w:link w:val="Header"/>
    <w:rsid w:val="00376664"/>
    <w:rPr>
      <w:rFonts w:ascii="Times New Roman" w:hAnsi="Times New Roman"/>
      <w:sz w:val="24"/>
    </w:rPr>
  </w:style>
  <w:style w:type="paragraph" w:customStyle="1" w:styleId="P68B1DB1-Normal1">
    <w:name w:val="P68B1DB1-Normal1"/>
    <w:basedOn w:val="Normal"/>
    <w:rPr>
      <w:b/>
      <w:sz w:val="22"/>
    </w:rPr>
  </w:style>
  <w:style w:type="paragraph" w:customStyle="1" w:styleId="P68B1DB1-Footer2">
    <w:name w:val="P68B1DB1-Footer2"/>
    <w:basedOn w:val="Footer"/>
    <w:rPr>
      <w:sz w:val="20"/>
    </w:rPr>
  </w:style>
  <w:style w:type="paragraph" w:customStyle="1" w:styleId="P68B1DB1-Header3">
    <w:name w:val="P68B1DB1-Header3"/>
    <w:basedOn w:val="Header"/>
    <w:rPr>
      <w:sz w:val="22"/>
    </w:rPr>
  </w:style>
  <w:style w:type="paragraph" w:customStyle="1" w:styleId="P68B1DB1-Header4">
    <w:name w:val="P68B1DB1-Header4"/>
    <w:basedOn w:val="Header"/>
    <w:rPr>
      <w:sz w:val="22"/>
      <w:highlight w:val="yellow"/>
    </w:rPr>
  </w:style>
  <w:style w:type="paragraph" w:customStyle="1" w:styleId="P68B1DB1-Header5">
    <w:name w:val="P68B1DB1-Header5"/>
    <w:basedOn w:val="Header"/>
    <w:rPr>
      <w:b/>
      <w:sz w:val="22"/>
    </w:rPr>
  </w:style>
  <w:style w:type="paragraph" w:customStyle="1" w:styleId="P68B1DB1-Footer6">
    <w:name w:val="P68B1DB1-Footer6"/>
    <w:basedOn w:val="Footer"/>
    <w:rPr>
      <w:color w:val="0070C0"/>
    </w:rPr>
  </w:style>
  <w:style w:type="paragraph" w:customStyle="1" w:styleId="P68B1DB1-Footer7">
    <w:name w:val="P68B1DB1-Footer7"/>
    <w:basedOn w:val="Foote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c5e3fa-378b-48b1-a129-e33a73f99ee9">
      <Terms xmlns="http://schemas.microsoft.com/office/infopath/2007/PartnerControls"/>
    </lcf76f155ced4ddcb4097134ff3c332f>
    <Finalis_x00e9__x003f_ xmlns="f7c5e3fa-378b-48b1-a129-e33a73f99ee9">true</Finalis_x00e9__x003f_>
    <TaxCatchAll xmlns="098ed42e-6899-48a5-86ec-62908de97b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16" ma:contentTypeDescription="Create a new document." ma:contentTypeScope="" ma:versionID="dad125a3f08795090abd1259d6f66ffc">
  <xsd:schema xmlns:xsd="http://www.w3.org/2001/XMLSchema" xmlns:xs="http://www.w3.org/2001/XMLSchema" xmlns:p="http://schemas.microsoft.com/office/2006/metadata/properties" xmlns:ns2="f7c5e3fa-378b-48b1-a129-e33a73f99ee9" xmlns:ns3="098ed42e-6899-48a5-86ec-62908de97b08" targetNamespace="http://schemas.microsoft.com/office/2006/metadata/properties" ma:root="true" ma:fieldsID="4432526a3ac35302a3244dddc38cb93c" ns2:_="" ns3:_="">
    <xsd:import namespace="f7c5e3fa-378b-48b1-a129-e33a73f99ee9"/>
    <xsd:import namespace="098ed42e-6899-48a5-86ec-62908de9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Finalis_x00e9__x003f_"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Finalis_x00e9__x003f_" ma:index="16" nillable="true" ma:displayName="Finalisé ?" ma:default="1" ma:format="Dropdown" ma:internalName="Finalis_x00e9__x003f_">
      <xsd:simpleType>
        <xsd:restriction base="dms:Boolea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ed42e-6899-48a5-86ec-62908de97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b4b27ea-a597-46e4-a122-ee02b18c8631}" ma:internalName="TaxCatchAll" ma:showField="CatchAllData" ma:web="098ed42e-6899-48a5-86ec-62908de97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E41EC-9A0E-4E46-81CC-98413F688952}">
  <ds:schemaRefs>
    <ds:schemaRef ds:uri="http://schemas.openxmlformats.org/officeDocument/2006/bibliography"/>
  </ds:schemaRefs>
</ds:datastoreItem>
</file>

<file path=customXml/itemProps2.xml><?xml version="1.0" encoding="utf-8"?>
<ds:datastoreItem xmlns:ds="http://schemas.openxmlformats.org/officeDocument/2006/customXml" ds:itemID="{9B896A4E-8CB4-4390-8EFD-B4FCBAEC8730}">
  <ds:schemaRef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098ed42e-6899-48a5-86ec-62908de97b08"/>
    <ds:schemaRef ds:uri="http://schemas.microsoft.com/office/infopath/2007/PartnerControls"/>
    <ds:schemaRef ds:uri="f7c5e3fa-378b-48b1-a129-e33a73f99ee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FB0B384-6CFA-4867-B2A8-129A840F109D}">
  <ds:schemaRefs>
    <ds:schemaRef ds:uri="http://schemas.microsoft.com/sharepoint/v3/contenttype/forms"/>
  </ds:schemaRefs>
</ds:datastoreItem>
</file>

<file path=customXml/itemProps4.xml><?xml version="1.0" encoding="utf-8"?>
<ds:datastoreItem xmlns:ds="http://schemas.openxmlformats.org/officeDocument/2006/customXml" ds:itemID="{000A7DCC-6AB1-4BEA-BA6D-A5DC49954558}"/>
</file>

<file path=docProps/app.xml><?xml version="1.0" encoding="utf-8"?>
<Properties xmlns="http://schemas.openxmlformats.org/officeDocument/2006/extended-properties" xmlns:vt="http://schemas.openxmlformats.org/officeDocument/2006/docPropsVTypes">
  <Template>Normal.dotm</Template>
  <TotalTime>17</TotalTime>
  <Pages>1</Pages>
  <Words>203</Words>
  <Characters>1161</Characters>
  <Application>Microsoft Office Word</Application>
  <DocSecurity>0</DocSecurity>
  <Lines>89</Lines>
  <Paragraphs>33</Paragraphs>
  <ScaleCrop>false</ScaleCrop>
  <HeadingPairs>
    <vt:vector size="2" baseType="variant">
      <vt:variant>
        <vt:lpstr>Title</vt:lpstr>
      </vt:variant>
      <vt:variant>
        <vt:i4>1</vt:i4>
      </vt:variant>
    </vt:vector>
  </HeadingPairs>
  <TitlesOfParts>
    <vt:vector size="1" baseType="lpstr">
      <vt:lpstr>Weighting</vt:lpstr>
    </vt:vector>
  </TitlesOfParts>
  <Company>European Commission</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Weighting</dc:title>
  <dc:subject/>
  <dc:creator>silvajq</dc:creator>
  <cp:keywords/>
  <cp:lastModifiedBy>MAIORCA Gionata (INTPA)</cp:lastModifiedBy>
  <cp:revision>18</cp:revision>
  <cp:lastPrinted>2012-10-24T07:13:00Z</cp:lastPrinted>
  <dcterms:created xsi:type="dcterms:W3CDTF">2023-12-06T15:34:00Z</dcterms:created>
  <dcterms:modified xsi:type="dcterms:W3CDTF">2024-03-14T14:38:00Z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1063092991</vt:i4>
  </property>
  <property fmtid="{D5CDD505-2E9C-101B-9397-08002B2CF9AE}" pid="3" name="_EmailSubject">
    <vt:lpwstr>Annexes services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cajalja</vt:lpwstr>
  </property>
  <property fmtid="{D5CDD505-2E9C-101B-9397-08002B2CF9AE}" pid="8" name="ContentTypeId">
    <vt:lpwstr>0x01010046802581D1E5194BB751F4A1219E22A7</vt:lpwstr>
  </property>
  <property fmtid="{D5CDD505-2E9C-101B-9397-08002B2CF9AE}" pid="9" name="MSIP_Label_6bd9ddd1-4d20-43f6-abfa-fc3c07406f94_Enabled">
    <vt:lpwstr>true</vt:lpwstr>
  </property>
  <property fmtid="{D5CDD505-2E9C-101B-9397-08002B2CF9AE}" pid="10" name="MSIP_Label_6bd9ddd1-4d20-43f6-abfa-fc3c07406f94_SetDate">
    <vt:lpwstr>2023-11-28T10:07:02Z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c61cec67-d15e-40ff-bc58-292ff191743a</vt:lpwstr>
  </property>
  <property fmtid="{D5CDD505-2E9C-101B-9397-08002B2CF9AE}" pid="15" name="MSIP_Label_6bd9ddd1-4d20-43f6-abfa-fc3c07406f94_ContentBits">
    <vt:lpwstr>0</vt:lpwstr>
  </property>
  <property fmtid="{D5CDD505-2E9C-101B-9397-08002B2CF9AE}" pid="16" name="MediaServiceImageTags">
    <vt:lpwstr/>
  </property>
</Properties>
</file>