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1EEE4A" w14:textId="77777777" w:rsidR="006F3E29" w:rsidRDefault="00DE31E0">
      <w:pPr>
        <w:pStyle w:val="Heading1"/>
        <w:numPr>
          <w:ilvl w:val="0"/>
          <w:numId w:val="0"/>
        </w:numPr>
        <w:spacing w:before="360" w:after="360"/>
        <w:ind w:left="1276" w:hanging="1276"/>
      </w:pPr>
      <w:bookmarkStart w:id="0" w:name="_Toc149734320"/>
      <w:bookmarkStart w:id="1" w:name="_Toc89673412"/>
      <w:r>
        <w:t xml:space="preserve">Annexe 2 </w:t>
      </w:r>
      <w:bookmarkEnd w:id="0"/>
      <w:r>
        <w:t xml:space="preserve">Procédures d’audit des systèmes (conception </w:t>
      </w:r>
      <w:r>
        <w:rPr>
          <w:u w:val="single"/>
        </w:rPr>
        <w:t>et</w:t>
      </w:r>
      <w:r>
        <w:t xml:space="preserve"> efficacité opérationnelle des systèmes de contrôle interne)</w:t>
      </w:r>
    </w:p>
    <w:p w14:paraId="316FC109" w14:textId="77777777" w:rsidR="006F3E29" w:rsidRDefault="00DE31E0">
      <w:pPr>
        <w:pStyle w:val="P68B1DB1-Normal1"/>
        <w:spacing w:before="120" w:after="120"/>
        <w:jc w:val="both"/>
      </w:pPr>
      <w:r>
        <w:t>2.1</w:t>
      </w:r>
      <w:r>
        <w:tab/>
        <w:t>Documentation d’audit et éléments probants</w:t>
      </w:r>
    </w:p>
    <w:p w14:paraId="3924C0A4" w14:textId="77777777" w:rsidR="006F3E29" w:rsidRDefault="00DE31E0">
      <w:pPr>
        <w:pStyle w:val="P68B1DB1-Normal2"/>
        <w:spacing w:before="120" w:after="120"/>
        <w:ind w:left="284" w:hanging="284"/>
      </w:pPr>
      <w:r>
        <w:t>1</w:t>
      </w:r>
      <w:r>
        <w:tab/>
        <w:t>Documentation d’audit (documents de travail)</w:t>
      </w:r>
    </w:p>
    <w:p w14:paraId="6F31C43F" w14:textId="77777777" w:rsidR="006F3E29" w:rsidRDefault="00DE31E0">
      <w:pPr>
        <w:pStyle w:val="P68B1DB1-Normal3"/>
        <w:spacing w:before="120" w:after="120"/>
        <w:jc w:val="both"/>
      </w:pPr>
      <w:r>
        <w:t xml:space="preserve">Conformément à la norme ISAE 3000 (révisée), le praticien doit préparer en temps utile des documents d’engagement qui fournissent un relevé des bases du rapport d’assurance suffisant et approprié pour permettre à un praticien expérimenté, n’ayant aucun lien préalable avec l’engagement, de </w:t>
      </w:r>
      <w:proofErr w:type="gramStart"/>
      <w:r>
        <w:t>comprendre:</w:t>
      </w:r>
      <w:proofErr w:type="gramEnd"/>
    </w:p>
    <w:p w14:paraId="6AD0A44E" w14:textId="77777777" w:rsidR="006F3E29" w:rsidRDefault="00DE31E0">
      <w:pPr>
        <w:pStyle w:val="P68B1DB1-Normal3"/>
        <w:numPr>
          <w:ilvl w:val="0"/>
          <w:numId w:val="31"/>
        </w:numPr>
        <w:spacing w:before="120" w:after="120"/>
        <w:jc w:val="both"/>
      </w:pPr>
      <w:r>
        <w:t xml:space="preserve">La nature, le calendrier et l’étendue des procédures exécutées pour se conformer aux normes ISAE pertinentes et aux exigences légales et réglementaires </w:t>
      </w:r>
      <w:proofErr w:type="gramStart"/>
      <w:r>
        <w:t>applicables;</w:t>
      </w:r>
      <w:proofErr w:type="gramEnd"/>
      <w:r>
        <w:t xml:space="preserve"> </w:t>
      </w:r>
    </w:p>
    <w:p w14:paraId="554A9E9D" w14:textId="78DEAAD6" w:rsidR="006F3E29" w:rsidRDefault="00DE31E0">
      <w:pPr>
        <w:pStyle w:val="P68B1DB1-Normal3"/>
        <w:numPr>
          <w:ilvl w:val="0"/>
          <w:numId w:val="31"/>
        </w:numPr>
        <w:spacing w:before="120" w:after="120"/>
        <w:jc w:val="both"/>
      </w:pPr>
      <w:r>
        <w:t>Les résultats des procédures effectuées et les preuves obtenues.</w:t>
      </w:r>
    </w:p>
    <w:p w14:paraId="4792A0F9" w14:textId="1357FC91" w:rsidR="006F3E29" w:rsidRDefault="00DE31E0">
      <w:pPr>
        <w:pStyle w:val="P68B1DB1-Normal3"/>
        <w:spacing w:before="120" w:after="120"/>
        <w:jc w:val="both"/>
        <w:rPr>
          <w:rFonts w:ascii="Arial" w:hAnsi="Arial" w:cs="Arial"/>
          <w:i/>
          <w:sz w:val="20"/>
        </w:rPr>
      </w:pPr>
      <w:r>
        <w:t xml:space="preserve">Les questions importantes survenant au cours de l’engagement, les conclusions auxquelles il est parvenu et les jugements professionnels importants rendus pour parvenir à ces conclusions sur </w:t>
      </w:r>
      <w:r w:rsidR="00C80A28">
        <w:t xml:space="preserve">les </w:t>
      </w:r>
      <w:r>
        <w:t>question</w:t>
      </w:r>
      <w:r w:rsidR="00C80A28">
        <w:t>s</w:t>
      </w:r>
      <w:r>
        <w:t xml:space="preserve"> importante</w:t>
      </w:r>
      <w:r w:rsidR="00C80A28">
        <w:t>s</w:t>
      </w:r>
      <w:r>
        <w:t>, le praticien documente la manière dont il a remédié à l’incohérence.</w:t>
      </w:r>
    </w:p>
    <w:p w14:paraId="3E65542E" w14:textId="77777777" w:rsidR="006F3E29" w:rsidRDefault="00DE31E0">
      <w:pPr>
        <w:pStyle w:val="P68B1DB1-Normal2"/>
        <w:spacing w:before="240" w:after="120"/>
        <w:ind w:left="284" w:hanging="284"/>
      </w:pPr>
      <w:r>
        <w:t>2</w:t>
      </w:r>
      <w:r>
        <w:tab/>
        <w:t>Éléments probants de l’audit</w:t>
      </w:r>
    </w:p>
    <w:p w14:paraId="5D14E1DD" w14:textId="77777777" w:rsidR="006F3E29" w:rsidRDefault="00DE31E0">
      <w:pPr>
        <w:pStyle w:val="P68B1DB1-Normal3"/>
        <w:spacing w:before="120" w:after="120"/>
        <w:jc w:val="both"/>
      </w:pPr>
      <w:r>
        <w:t xml:space="preserve">Conformément à la norme ISAE 3000 (révisée), des éléments de preuve sont nécessaires pour étayer la conclusion et le rapport d’assurance du praticien. </w:t>
      </w:r>
    </w:p>
    <w:p w14:paraId="5ED5A42A" w14:textId="6794EB0F" w:rsidR="006F3E29" w:rsidRDefault="00DE31E0">
      <w:pPr>
        <w:pStyle w:val="P68B1DB1-Normal3"/>
        <w:spacing w:before="120" w:after="120"/>
        <w:jc w:val="both"/>
      </w:pPr>
      <w:r>
        <w:t xml:space="preserve">Les éléments de preuve comprennent à la fois des informations qui étayent et corroborent certains aspects des informations </w:t>
      </w:r>
      <w:r w:rsidR="004221FB">
        <w:t>sur le sujet</w:t>
      </w:r>
      <w:r>
        <w:t xml:space="preserve"> et toute information qui contredit certains aspects de ces informations. </w:t>
      </w:r>
      <w:r w:rsidR="004221FB">
        <w:t xml:space="preserve"> De plus</w:t>
      </w:r>
      <w:r>
        <w:t>, dans certains cas, l’absence d’informations (par exemple, le refus de la ou des parties concernées de fournir une représentation demandée) est utilisée par le praticien et constitue donc également un élément de preuve.</w:t>
      </w:r>
      <w:r w:rsidR="00173F2C">
        <w:t xml:space="preserve"> </w:t>
      </w:r>
    </w:p>
    <w:p w14:paraId="6BDD0D22" w14:textId="77777777" w:rsidR="006F3E29" w:rsidRDefault="00DE31E0">
      <w:pPr>
        <w:pStyle w:val="P68B1DB1-Normal2"/>
        <w:spacing w:before="240" w:after="120"/>
        <w:ind w:left="284" w:hanging="284"/>
      </w:pPr>
      <w:r>
        <w:t>3</w:t>
      </w:r>
      <w:r>
        <w:tab/>
        <w:t xml:space="preserve">Conservation de la documentation d’audit (documents de travail) </w:t>
      </w:r>
    </w:p>
    <w:p w14:paraId="664FFD25" w14:textId="570A8D7E" w:rsidR="006F3E29" w:rsidRDefault="00DE31E0">
      <w:pPr>
        <w:pStyle w:val="P68B1DB1-Normal3"/>
        <w:spacing w:before="120" w:after="120"/>
        <w:jc w:val="both"/>
      </w:pPr>
      <w:r>
        <w:t xml:space="preserve">Le praticien doit conserver les documents d’audit relatifs à la mission (y compris les éléments probants relatifs aux frais d’audit et aux dépenses telles que les factures d’hébergement à l’hôtel, les cartes d’embarquement, </w:t>
      </w:r>
      <w:r w:rsidR="009848A9">
        <w:t>reçus bancaires</w:t>
      </w:r>
      <w:r>
        <w:t>, les feuilles de présence, etc.) en vue d’une inspection par la Commission pendant une période de 5 ans à compter de la date de paiement par la Commission de la facture finale du praticien pour cette mission. La Commission a</w:t>
      </w:r>
      <w:r w:rsidR="00094F6F">
        <w:t>ura</w:t>
      </w:r>
      <w:r>
        <w:t xml:space="preserve"> accès, sur demande et conformément à la législation du pays où se situe le bureau chargé de l’audit, aux documents d’audit au cours de cette période de 5 ans.</w:t>
      </w:r>
    </w:p>
    <w:p w14:paraId="35F40979" w14:textId="77777777" w:rsidR="006F3E29" w:rsidRDefault="00DE31E0">
      <w:pPr>
        <w:pStyle w:val="P68B1DB1-Normal2"/>
        <w:spacing w:before="240" w:after="120"/>
        <w:ind w:left="284" w:hanging="284"/>
      </w:pPr>
      <w:r>
        <w:t>4</w:t>
      </w:r>
      <w:r>
        <w:tab/>
        <w:t>Accès aux registres et documents de l’entité</w:t>
      </w:r>
    </w:p>
    <w:p w14:paraId="5E7AAA9F" w14:textId="4AE2FBF5" w:rsidR="006F3E29" w:rsidRDefault="00DE31E0">
      <w:pPr>
        <w:pStyle w:val="P68B1DB1-Normal3"/>
        <w:spacing w:before="120" w:after="120"/>
        <w:jc w:val="both"/>
        <w:rPr>
          <w:rFonts w:ascii="Arial" w:hAnsi="Arial" w:cs="Arial"/>
          <w:b/>
          <w:i/>
        </w:rPr>
      </w:pPr>
      <w:r>
        <w:t xml:space="preserve">Le praticien doit avoir à tout moment un accès complet et sans restriction à tous les dossiers et documents (y compris les documents comptables, les contrats, les procès-verbaux de réunions, les registres bancaires, les factures, etc.), aux employés de l’entité et aux sites de l’entité, dans la mesure où cela est possible et pertinent pour l’audit du projet. Le praticien peut demander à </w:t>
      </w:r>
      <w:r>
        <w:lastRenderedPageBreak/>
        <w:t>l’entité d’avoir accès aux banques (par exemple, pour demander une confirmation bancaire), aux consultants et à d’autres personnes ou entreprises engagées par l’entité.</w:t>
      </w:r>
    </w:p>
    <w:p w14:paraId="423D4E78" w14:textId="77777777" w:rsidR="006F3E29" w:rsidRDefault="00DE31E0">
      <w:pPr>
        <w:pStyle w:val="P68B1DB1-Normal1"/>
        <w:spacing w:before="240" w:after="120"/>
        <w:ind w:left="284" w:hanging="284"/>
        <w:jc w:val="both"/>
      </w:pPr>
      <w:r>
        <w:t>2.2</w:t>
      </w:r>
      <w:r>
        <w:tab/>
        <w:t>Planification</w:t>
      </w:r>
    </w:p>
    <w:p w14:paraId="0010B321" w14:textId="77777777" w:rsidR="006F3E29" w:rsidRDefault="00DE31E0">
      <w:pPr>
        <w:pStyle w:val="P68B1DB1-Normal2"/>
        <w:keepLines/>
        <w:spacing w:before="240" w:after="120"/>
        <w:ind w:left="284" w:hanging="284"/>
      </w:pPr>
      <w:r>
        <w:t>1</w:t>
      </w:r>
      <w:r>
        <w:tab/>
        <w:t>Réunion préparatoire avec la Commission</w:t>
      </w:r>
    </w:p>
    <w:p w14:paraId="4E0CE433" w14:textId="2580D9C2" w:rsidR="006F3E29" w:rsidRDefault="00DE31E0">
      <w:pPr>
        <w:pStyle w:val="P68B1DB1-Normal3"/>
        <w:spacing w:before="120" w:after="120"/>
        <w:jc w:val="both"/>
        <w:rPr>
          <w:i/>
        </w:rPr>
      </w:pPr>
      <w:r>
        <w:t>La Commission prévoit normalement une réunion préparatoire avec le praticien. Cette réunion aura lieu au siège de la DG INTPA à Bruxelles, dans la délégation de l’UE concernée par l’audit ou dans un autre lieu, selon le lieu le plus approprié et le plus commode pour les deux parties. L’objectif de cette réunion est de discuter de la planification, du travail sur le terrain et de l’établissement de rapports sur l’audit, ainsi que de clarifier les questions en suspens. La Commission et le praticien peuvent convenir d’utiliser d’autres méthodes pour préparer l’audit (par exemple, les conférences téléphoniques).</w:t>
      </w:r>
    </w:p>
    <w:p w14:paraId="68D149FF" w14:textId="77777777" w:rsidR="006F3E29" w:rsidRDefault="00DE31E0">
      <w:pPr>
        <w:pStyle w:val="P68B1DB1-Normal2"/>
        <w:keepLines/>
        <w:spacing w:before="240" w:after="120"/>
        <w:ind w:left="284" w:hanging="284"/>
      </w:pPr>
      <w:r>
        <w:t>2</w:t>
      </w:r>
      <w:r>
        <w:tab/>
        <w:t>Réunion d’ouverture avec l’entité</w:t>
      </w:r>
    </w:p>
    <w:p w14:paraId="06F3A84A" w14:textId="00E8B00A" w:rsidR="006F3E29" w:rsidRDefault="00DE31E0">
      <w:pPr>
        <w:pStyle w:val="P68B1DB1-Normal3"/>
        <w:keepLines/>
        <w:spacing w:before="120" w:after="120"/>
        <w:jc w:val="both"/>
      </w:pPr>
      <w:r>
        <w:t xml:space="preserve">Le praticien doit organiser une réunion d’ouverture avec l’entité pour discuter et expliquer la planification, le travail sur le terrain et les rapports. Le praticien expliquera la nature, les objectifs et la portée de l’audit. Le praticien doit informer la Commission de cette réunion, à laquelle peuvent assister des représentants de la Commission, y compris </w:t>
      </w:r>
      <w:proofErr w:type="gramStart"/>
      <w:r>
        <w:t>l</w:t>
      </w:r>
      <w:r w:rsidR="00535D90">
        <w:t>’</w:t>
      </w:r>
      <w:r>
        <w:t xml:space="preserve"> </w:t>
      </w:r>
      <w:r w:rsidRPr="00FC77F7">
        <w:rPr>
          <w:i/>
          <w:iCs/>
        </w:rPr>
        <w:t>Audit</w:t>
      </w:r>
      <w:proofErr w:type="gramEnd"/>
      <w:r w:rsidRPr="00FC77F7">
        <w:rPr>
          <w:i/>
          <w:iCs/>
        </w:rPr>
        <w:t xml:space="preserve"> </w:t>
      </w:r>
      <w:proofErr w:type="spellStart"/>
      <w:r w:rsidRPr="00FC77F7">
        <w:rPr>
          <w:i/>
          <w:iCs/>
        </w:rPr>
        <w:t>Task</w:t>
      </w:r>
      <w:proofErr w:type="spellEnd"/>
      <w:r w:rsidRPr="00FC77F7">
        <w:rPr>
          <w:i/>
          <w:iCs/>
        </w:rPr>
        <w:t xml:space="preserve"> Manager</w:t>
      </w:r>
      <w:r>
        <w:t xml:space="preserve"> (ATM).</w:t>
      </w:r>
    </w:p>
    <w:p w14:paraId="30483BCD" w14:textId="4412F1B5" w:rsidR="006F3E29" w:rsidRDefault="00DE31E0">
      <w:pPr>
        <w:pStyle w:val="P68B1DB1-Normal3"/>
        <w:keepLines/>
        <w:spacing w:before="120" w:after="120"/>
        <w:jc w:val="both"/>
      </w:pPr>
      <w:r>
        <w:t>Au cours de la réunion préparatoire et de la réunion d’ouverture, le praticien peut demander des informations et documents complémentaires qu’il juge nécessaires ou utiles à la planification et au travail sur le terrain de l’audit. Le praticien peut contacter directement l’Entité pour obtenir ces informations.</w:t>
      </w:r>
    </w:p>
    <w:p w14:paraId="2EC01BC6" w14:textId="77777777" w:rsidR="006F3E29" w:rsidRDefault="00DE31E0">
      <w:pPr>
        <w:pStyle w:val="P68B1DB1-Text14"/>
        <w:spacing w:before="240" w:after="120"/>
        <w:ind w:left="284" w:hanging="284"/>
        <w:jc w:val="left"/>
      </w:pPr>
      <w:r>
        <w:t>3</w:t>
      </w:r>
      <w:r>
        <w:tab/>
        <w:t>Activités de planification, plan d’audit et programmes de travail d’audit</w:t>
      </w:r>
    </w:p>
    <w:p w14:paraId="08A5133E" w14:textId="3A00F657" w:rsidR="006F3E29" w:rsidRDefault="00DE31E0">
      <w:pPr>
        <w:pStyle w:val="P68B1DB1-Text15"/>
        <w:spacing w:before="120" w:after="120"/>
        <w:ind w:left="0"/>
      </w:pPr>
      <w:r>
        <w:t xml:space="preserve">Le praticien doit planifier l’audit </w:t>
      </w:r>
      <w:proofErr w:type="gramStart"/>
      <w:r>
        <w:t>de manière à ce</w:t>
      </w:r>
      <w:proofErr w:type="gramEnd"/>
      <w:r>
        <w:t xml:space="preserve"> qu’il soit réalisé de manière efficace et efficiente. Une planification adéquate implique qu’une attention appropriée soit accordée à des domaines importants de l’audit, que les problèmes potentiels soient identifiés et résolus en temps utile et que l’audit soit correctement organisé et géré de manière efficace et efficiente. </w:t>
      </w:r>
    </w:p>
    <w:p w14:paraId="35397A0D" w14:textId="085B6A22" w:rsidR="006F3E29" w:rsidRDefault="00DE31E0">
      <w:pPr>
        <w:pStyle w:val="P68B1DB1-Text15"/>
        <w:spacing w:before="120" w:after="120"/>
        <w:ind w:left="0"/>
      </w:pPr>
      <w:r>
        <w:t xml:space="preserve">Le praticien doit disposer d’un plan d’audit (ou d’un document de planification similaire, tel qu’un plan de travail d’audit ou un mémorandum de planification) décrivant l’approche d’audit et les principes clés de la planification de l’audit, du travail sur le terrain et de l’établissement de rapports. Le praticien doit disposer de programmes de travail d’audit qui détaillent et documentent les tests et procédures d’audit. </w:t>
      </w:r>
      <w:r>
        <w:rPr>
          <w:u w:val="single"/>
        </w:rPr>
        <w:t>Le praticien doit fournir des copies du plan d’audit et des programmes de travail d’audit à l’ATM de la Commission sur demande</w:t>
      </w:r>
      <w:r>
        <w:t>.</w:t>
      </w:r>
    </w:p>
    <w:p w14:paraId="164AF782" w14:textId="77777777" w:rsidR="006F3E29" w:rsidRDefault="00DE31E0">
      <w:pPr>
        <w:pStyle w:val="P68B1DB1-Text14"/>
        <w:spacing w:before="240" w:after="120"/>
        <w:ind w:left="284" w:hanging="284"/>
        <w:jc w:val="left"/>
      </w:pPr>
      <w:r>
        <w:t>4</w:t>
      </w:r>
      <w:r>
        <w:tab/>
        <w:t>Évaluation des risques</w:t>
      </w:r>
    </w:p>
    <w:p w14:paraId="2E056712" w14:textId="5ECC444F" w:rsidR="006F3E29" w:rsidRDefault="00DE31E0">
      <w:pPr>
        <w:pStyle w:val="P68B1DB1-Normal3"/>
        <w:spacing w:before="120" w:after="120"/>
        <w:ind w:right="-16"/>
        <w:jc w:val="both"/>
        <w:rPr>
          <w:rFonts w:cs="Arial"/>
        </w:rPr>
      </w:pPr>
      <w:r>
        <w:rPr>
          <w:rFonts w:cs="Arial"/>
        </w:rPr>
        <w:t xml:space="preserve">Le praticien doit évaluer les principaux risques pour la réalisation des objectifs du projet, y compris les risques que le financement du projet ne soit pas utilisé conformément aux conditions contractuelles applicables et le risque d’erreur, d’irrégularités et de fraude en ce qui concerne le financement du projet. </w:t>
      </w:r>
      <w:r>
        <w:t>L’évaluation doit être suffisante pour concevoir et exécuter d’autres procédures d’audit et pour déterminer la nature, le calendrier et l’étendue des essais des contrôles.</w:t>
      </w:r>
    </w:p>
    <w:p w14:paraId="029BCDCE" w14:textId="5D657732" w:rsidR="006F3E29" w:rsidRDefault="00DE31E0">
      <w:pPr>
        <w:pStyle w:val="P68B1DB1-Normal6"/>
        <w:spacing w:before="120" w:after="120"/>
        <w:ind w:right="-16"/>
        <w:jc w:val="both"/>
      </w:pPr>
      <w:r>
        <w:t xml:space="preserve">Le praticien devrait évaluer si la conception du système de contrôle interne atténue suffisamment ces risques et s’il fonctionne efficacement.  </w:t>
      </w:r>
    </w:p>
    <w:p w14:paraId="3FBB00C1" w14:textId="189A939B" w:rsidR="006F3E29" w:rsidRDefault="00DE31E0">
      <w:pPr>
        <w:pStyle w:val="P68B1DB1-Text15"/>
        <w:spacing w:before="120" w:after="120"/>
        <w:ind w:left="0"/>
      </w:pPr>
      <w:r>
        <w:lastRenderedPageBreak/>
        <w:t xml:space="preserve">Le praticien devrait prendre en considération les risques de faiblesses et d’insuffisances dans la conception ou l’efficacité opérationnelle des contrôles internes afin de déterminer la nature, le calendrier et l’étendue des procédures de collecte de preuves. Il existe une faiblesse ou une déficience dans les contrôles lorsqu’un contrôle interne ou une série de contrôles internes ne permettent pas raisonnablement de prévenir ou de détecter les risques susceptibles d’avoir une incidence négative sur les objectifs du projet. Il existe une déficience dans le contrôle interne </w:t>
      </w:r>
      <w:proofErr w:type="gramStart"/>
      <w:r>
        <w:t>lorsque:</w:t>
      </w:r>
      <w:proofErr w:type="gramEnd"/>
    </w:p>
    <w:p w14:paraId="711F31FA" w14:textId="77777777" w:rsidR="006F3E29" w:rsidRDefault="00DE31E0">
      <w:pPr>
        <w:pStyle w:val="P68B1DB1-Normal3"/>
        <w:autoSpaceDE w:val="0"/>
        <w:autoSpaceDN w:val="0"/>
        <w:adjustRightInd w:val="0"/>
        <w:spacing w:before="120" w:after="120"/>
        <w:ind w:left="568" w:hanging="284"/>
        <w:jc w:val="both"/>
      </w:pPr>
      <w:r>
        <w:t>—</w:t>
      </w:r>
      <w:r>
        <w:tab/>
        <w:t xml:space="preserve">Un contrôle interne est conçu, mis en œuvre ou exécuté de telle manière qu’il n’est pas en mesure de prévenir, ou de détecter et de corriger en temps utile les erreurs et les inexactitudes dans le rapport financier relatif au </w:t>
      </w:r>
      <w:proofErr w:type="gramStart"/>
      <w:r>
        <w:t>projet;</w:t>
      </w:r>
      <w:proofErr w:type="gramEnd"/>
      <w:r>
        <w:t xml:space="preserve"> ou</w:t>
      </w:r>
    </w:p>
    <w:p w14:paraId="0D17C737" w14:textId="77777777" w:rsidR="006F3E29" w:rsidRDefault="00DE31E0">
      <w:pPr>
        <w:pStyle w:val="P68B1DB1-Normal3"/>
        <w:autoSpaceDE w:val="0"/>
        <w:autoSpaceDN w:val="0"/>
        <w:adjustRightInd w:val="0"/>
        <w:spacing w:before="120" w:after="120"/>
        <w:ind w:left="568" w:hanging="284"/>
        <w:jc w:val="both"/>
      </w:pPr>
      <w:r>
        <w:t>—</w:t>
      </w:r>
      <w:r>
        <w:tab/>
        <w:t>Un contrôle interne nécessaire pour prévenir, ou détecter et corriger en temps utile les erreurs et les inexactitudes dans le rapport financier relatif au projet fait défaut.</w:t>
      </w:r>
    </w:p>
    <w:p w14:paraId="77C410FA" w14:textId="77777777" w:rsidR="006F3E29" w:rsidRDefault="00DE31E0">
      <w:pPr>
        <w:pStyle w:val="P68B1DB1-Text15"/>
        <w:spacing w:before="120" w:after="120"/>
        <w:ind w:left="0"/>
      </w:pPr>
      <w:r>
        <w:t xml:space="preserve">L’évaluation des risques implique une évaluation des risques </w:t>
      </w:r>
      <w:proofErr w:type="gramStart"/>
      <w:r>
        <w:t>qui:</w:t>
      </w:r>
      <w:proofErr w:type="gramEnd"/>
    </w:p>
    <w:p w14:paraId="2494C7CA" w14:textId="3764CED9" w:rsidR="006F3E29" w:rsidRDefault="00DE31E0">
      <w:pPr>
        <w:pStyle w:val="P68B1DB1-Normal3"/>
        <w:keepLines/>
        <w:numPr>
          <w:ilvl w:val="0"/>
          <w:numId w:val="17"/>
        </w:numPr>
        <w:tabs>
          <w:tab w:val="clear" w:pos="720"/>
        </w:tabs>
        <w:spacing w:before="60" w:after="60"/>
        <w:ind w:left="284" w:hanging="284"/>
        <w:jc w:val="both"/>
        <w:rPr>
          <w:snapToGrid w:val="0"/>
        </w:rPr>
      </w:pPr>
      <w:proofErr w:type="gramStart"/>
      <w:r>
        <w:t>le</w:t>
      </w:r>
      <w:proofErr w:type="gramEnd"/>
      <w:r>
        <w:t xml:space="preserve"> rapport financier du projet n’est pas fiable, c’est-à-dire qu’il </w:t>
      </w:r>
      <w:r>
        <w:rPr>
          <w:u w:val="single"/>
        </w:rPr>
        <w:t>ne présente pas</w:t>
      </w:r>
      <w:r>
        <w:t>, dans tous leurs aspects significatifs, les dépenses réelles effectuées et les recettes perçues pour le projet conformément aux conditions contractuelles applicables;</w:t>
      </w:r>
    </w:p>
    <w:p w14:paraId="653492EE" w14:textId="77777777" w:rsidR="006F3E29" w:rsidRDefault="00DE31E0">
      <w:pPr>
        <w:pStyle w:val="P68B1DB1-Normal3"/>
        <w:keepLines/>
        <w:numPr>
          <w:ilvl w:val="0"/>
          <w:numId w:val="17"/>
        </w:numPr>
        <w:tabs>
          <w:tab w:val="clear" w:pos="720"/>
        </w:tabs>
        <w:spacing w:before="60" w:after="60"/>
        <w:ind w:left="284" w:hanging="284"/>
        <w:jc w:val="both"/>
        <w:rPr>
          <w:snapToGrid w:val="0"/>
        </w:rPr>
      </w:pPr>
      <w:proofErr w:type="gramStart"/>
      <w:r>
        <w:t>les</w:t>
      </w:r>
      <w:proofErr w:type="gramEnd"/>
      <w:r>
        <w:t xml:space="preserve"> fonds du projet fournis par la Commission </w:t>
      </w:r>
      <w:r>
        <w:rPr>
          <w:u w:val="single"/>
        </w:rPr>
        <w:t xml:space="preserve">n’ont pas été utilisés, </w:t>
      </w:r>
      <w:r>
        <w:t>dans tous leurs aspects significatifs, conformément aux conditions contractuelles applicables;</w:t>
      </w:r>
    </w:p>
    <w:p w14:paraId="7DC8FBF2" w14:textId="77777777" w:rsidR="006F3E29" w:rsidRDefault="00DE31E0">
      <w:pPr>
        <w:pStyle w:val="P68B1DB1-Normal3"/>
        <w:keepLines/>
        <w:numPr>
          <w:ilvl w:val="0"/>
          <w:numId w:val="17"/>
        </w:numPr>
        <w:tabs>
          <w:tab w:val="clear" w:pos="720"/>
        </w:tabs>
        <w:spacing w:before="60" w:after="60"/>
        <w:ind w:left="284" w:hanging="284"/>
        <w:jc w:val="both"/>
        <w:rPr>
          <w:snapToGrid w:val="0"/>
        </w:rPr>
      </w:pPr>
      <w:proofErr w:type="gramStart"/>
      <w:r>
        <w:t>des</w:t>
      </w:r>
      <w:proofErr w:type="gramEnd"/>
      <w:r>
        <w:t xml:space="preserve"> fraudes et irrégularités peuvent survenir ou se sont produites qui ont une incidence sur les dépenses et les recettes du projet et qui </w:t>
      </w:r>
      <w:r>
        <w:rPr>
          <w:u w:val="single"/>
        </w:rPr>
        <w:t>ne sont pas</w:t>
      </w:r>
      <w:r>
        <w:t xml:space="preserve"> détectées et corrigées en temps utile;</w:t>
      </w:r>
    </w:p>
    <w:p w14:paraId="27FD761E" w14:textId="644E8D4C" w:rsidR="006F3E29" w:rsidRDefault="00DE31E0">
      <w:pPr>
        <w:pStyle w:val="P68B1DB1-Normal3"/>
        <w:keepLines/>
        <w:numPr>
          <w:ilvl w:val="0"/>
          <w:numId w:val="17"/>
        </w:numPr>
        <w:tabs>
          <w:tab w:val="clear" w:pos="720"/>
        </w:tabs>
        <w:spacing w:before="60" w:after="60"/>
        <w:ind w:left="284" w:hanging="284"/>
        <w:jc w:val="both"/>
        <w:rPr>
          <w:snapToGrid w:val="0"/>
        </w:rPr>
      </w:pPr>
      <w:proofErr w:type="gramStart"/>
      <w:r>
        <w:t>les</w:t>
      </w:r>
      <w:proofErr w:type="gramEnd"/>
      <w:r>
        <w:t xml:space="preserve"> conditions contractuelles applicables au projet </w:t>
      </w:r>
      <w:r>
        <w:rPr>
          <w:u w:val="single"/>
        </w:rPr>
        <w:t>ne sont pas</w:t>
      </w:r>
      <w:r>
        <w:t xml:space="preserve"> respectées. À cette fin, le praticien peut se concentrer sur les contrôles et les domaines de contrôle décrits au point 6.2 du cahier des charges (planification et travail de terrain, compréhension du contexte de la mission).</w:t>
      </w:r>
    </w:p>
    <w:p w14:paraId="493012FE" w14:textId="77777777" w:rsidR="006F3E29" w:rsidRDefault="00DE31E0">
      <w:pPr>
        <w:pStyle w:val="P68B1DB1-Normal1"/>
        <w:spacing w:before="480" w:after="120"/>
        <w:ind w:left="284" w:hanging="284"/>
        <w:jc w:val="both"/>
      </w:pPr>
      <w:r>
        <w:t>2.3</w:t>
      </w:r>
      <w:r>
        <w:tab/>
        <w:t>Travaux sur le terrain</w:t>
      </w:r>
    </w:p>
    <w:p w14:paraId="3637A257" w14:textId="77777777" w:rsidR="006F3E29" w:rsidRDefault="00DE31E0">
      <w:pPr>
        <w:pStyle w:val="P68B1DB1-Normal2"/>
        <w:spacing w:before="240" w:after="120"/>
        <w:ind w:left="284" w:hanging="284"/>
      </w:pPr>
      <w:r>
        <w:t>1</w:t>
      </w:r>
      <w:r>
        <w:tab/>
        <w:t xml:space="preserve">Obtention de preuves concernant la conception des contrôles </w:t>
      </w:r>
    </w:p>
    <w:p w14:paraId="6E80DD2F" w14:textId="77777777" w:rsidR="006F3E29" w:rsidRDefault="00DE31E0">
      <w:pPr>
        <w:pStyle w:val="P68B1DB1-Normal6"/>
        <w:spacing w:before="120" w:after="120"/>
        <w:jc w:val="both"/>
      </w:pPr>
      <w:r>
        <w:t xml:space="preserve">Les travaux devraient comprendre une évaluation visant à déterminer si la </w:t>
      </w:r>
      <w:r>
        <w:rPr>
          <w:b/>
        </w:rPr>
        <w:t>conception</w:t>
      </w:r>
      <w:r>
        <w:t xml:space="preserve"> du système de contrôle interne atténue suffisamment les risques pour la réalisation du projet (voir point 2.2.4 ci-dessus).</w:t>
      </w:r>
    </w:p>
    <w:p w14:paraId="4F525B4D" w14:textId="67022163" w:rsidR="006F3E29" w:rsidRDefault="00DE31E0">
      <w:pPr>
        <w:pStyle w:val="P68B1DB1-Normal3"/>
        <w:autoSpaceDE w:val="0"/>
        <w:autoSpaceDN w:val="0"/>
        <w:adjustRightInd w:val="0"/>
        <w:spacing w:before="120" w:after="120"/>
        <w:jc w:val="both"/>
      </w:pPr>
      <w:r>
        <w:rPr>
          <w:rFonts w:cs="Arial"/>
        </w:rPr>
        <w:t>Le praticien d</w:t>
      </w:r>
      <w:r w:rsidR="00BD6706">
        <w:rPr>
          <w:rFonts w:cs="Arial"/>
        </w:rPr>
        <w:t>o</w:t>
      </w:r>
      <w:r>
        <w:rPr>
          <w:rFonts w:cs="Arial"/>
        </w:rPr>
        <w:t>it se concentrer uniquement sur les principaux contrôles internes de l’entité, et en particulier sur ceux relatifs au projet, qui sont destinés à prévenir et à détecter des erreurs matérielles, des irrégularités ou des fraudes en ce qui concerne le financement du projet.</w:t>
      </w:r>
      <w:r>
        <w:t xml:space="preserve"> Le praticien doit déterminer quels contrôles internes à l’entité étaient nécessaires pour atteindre les objectifs de contrôle interne et évaluer si ces contrôles internes sont correctement conçus. </w:t>
      </w:r>
    </w:p>
    <w:p w14:paraId="766AFFF0" w14:textId="05914A14" w:rsidR="006F3E29" w:rsidRDefault="00DE31E0">
      <w:pPr>
        <w:pStyle w:val="P68B1DB1-Normal6"/>
        <w:autoSpaceDE w:val="0"/>
        <w:autoSpaceDN w:val="0"/>
        <w:adjustRightInd w:val="0"/>
        <w:spacing w:before="120" w:after="120"/>
        <w:jc w:val="both"/>
      </w:pPr>
      <w:r>
        <w:t xml:space="preserve">Le praticien doit tenir compte de facteurs tant qualitatifs que quantitatifs, mais cet audit n’est pas un audit de performance et, par conséquent, il doit se concentrer sur les contrôles internes </w:t>
      </w:r>
      <w:r>
        <w:rPr>
          <w:u w:val="single"/>
        </w:rPr>
        <w:t>financiers</w:t>
      </w:r>
      <w:r>
        <w:t xml:space="preserve"> plutôt que sur les contrôles opérationnels.</w:t>
      </w:r>
    </w:p>
    <w:p w14:paraId="3A5BC355" w14:textId="77777777" w:rsidR="006F3E29" w:rsidRDefault="00DE31E0">
      <w:pPr>
        <w:pStyle w:val="P68B1DB1-Normal3"/>
        <w:autoSpaceDE w:val="0"/>
        <w:autoSpaceDN w:val="0"/>
        <w:adjustRightInd w:val="0"/>
        <w:spacing w:before="120" w:after="120"/>
        <w:jc w:val="both"/>
        <w:rPr>
          <w:snapToGrid w:val="0"/>
        </w:rPr>
      </w:pPr>
      <w:r>
        <w:t xml:space="preserve">Pour évaluer la conception d’un contrôle interne, il convient d’examiner si un contrôle, individuellement ou en combinaison avec d’autres contrôles, est capable de prévenir, de détecter et de corriger efficacement les faiblesses et les insuffisances. </w:t>
      </w:r>
    </w:p>
    <w:p w14:paraId="4EDF6A30" w14:textId="77777777" w:rsidR="006F3E29" w:rsidRDefault="00DE31E0">
      <w:pPr>
        <w:pStyle w:val="P68B1DB1-Normal3"/>
        <w:autoSpaceDE w:val="0"/>
        <w:autoSpaceDN w:val="0"/>
        <w:adjustRightInd w:val="0"/>
        <w:spacing w:before="120" w:after="120"/>
        <w:jc w:val="both"/>
      </w:pPr>
      <w:r>
        <w:lastRenderedPageBreak/>
        <w:t xml:space="preserve">Les procédures d’obtention de preuves concernant la conception des contrôles internes peuvent </w:t>
      </w:r>
      <w:proofErr w:type="gramStart"/>
      <w:r>
        <w:t>comprendre:</w:t>
      </w:r>
      <w:proofErr w:type="gramEnd"/>
    </w:p>
    <w:p w14:paraId="7C0FD8D2" w14:textId="720FF01E" w:rsidR="006F3E29" w:rsidRDefault="00BD6706">
      <w:pPr>
        <w:pStyle w:val="P68B1DB1-Normal3"/>
        <w:numPr>
          <w:ilvl w:val="0"/>
          <w:numId w:val="25"/>
        </w:numPr>
        <w:tabs>
          <w:tab w:val="clear" w:pos="720"/>
        </w:tabs>
        <w:autoSpaceDE w:val="0"/>
        <w:autoSpaceDN w:val="0"/>
        <w:adjustRightInd w:val="0"/>
        <w:spacing w:before="120" w:after="120"/>
        <w:ind w:left="284" w:hanging="284"/>
        <w:jc w:val="both"/>
      </w:pPr>
      <w:r>
        <w:t>Enquêter les</w:t>
      </w:r>
      <w:r w:rsidR="00DE31E0">
        <w:t xml:space="preserve"> membres du personnel de l’entité qui peuvent disposer d’informations </w:t>
      </w:r>
      <w:proofErr w:type="gramStart"/>
      <w:r w:rsidR="00DE31E0">
        <w:t>pertinentes;</w:t>
      </w:r>
      <w:proofErr w:type="gramEnd"/>
    </w:p>
    <w:p w14:paraId="6717B36D" w14:textId="77777777" w:rsidR="006F3E29" w:rsidRDefault="00DE31E0">
      <w:pPr>
        <w:pStyle w:val="P68B1DB1-Normal3"/>
        <w:numPr>
          <w:ilvl w:val="3"/>
          <w:numId w:val="25"/>
        </w:numPr>
        <w:tabs>
          <w:tab w:val="clear" w:pos="2880"/>
        </w:tabs>
        <w:autoSpaceDE w:val="0"/>
        <w:autoSpaceDN w:val="0"/>
        <w:adjustRightInd w:val="0"/>
        <w:spacing w:before="120" w:after="120"/>
        <w:ind w:left="284" w:hanging="284"/>
      </w:pPr>
      <w:r>
        <w:t xml:space="preserve">Évaluer si les descriptions des contrôles internes de l’entité, si elles sont disponibles, présentent fidèlement les contrôles internes qui ont été conçus et mis en </w:t>
      </w:r>
      <w:proofErr w:type="gramStart"/>
      <w:r>
        <w:t>œuvre;</w:t>
      </w:r>
      <w:proofErr w:type="gramEnd"/>
    </w:p>
    <w:p w14:paraId="009D6128" w14:textId="63C3008C" w:rsidR="006F3E29" w:rsidRDefault="00BD6706">
      <w:pPr>
        <w:pStyle w:val="P68B1DB1-Normal3"/>
        <w:numPr>
          <w:ilvl w:val="0"/>
          <w:numId w:val="25"/>
        </w:numPr>
        <w:tabs>
          <w:tab w:val="clear" w:pos="720"/>
        </w:tabs>
        <w:autoSpaceDE w:val="0"/>
        <w:autoSpaceDN w:val="0"/>
        <w:adjustRightInd w:val="0"/>
        <w:spacing w:before="120" w:after="120"/>
        <w:ind w:left="284" w:hanging="284"/>
      </w:pPr>
      <w:r>
        <w:t xml:space="preserve">Inspection </w:t>
      </w:r>
      <w:r w:rsidR="00DE31E0">
        <w:t xml:space="preserve">des conditions </w:t>
      </w:r>
      <w:proofErr w:type="gramStart"/>
      <w:r w:rsidR="00DE31E0">
        <w:t>contractuelles;</w:t>
      </w:r>
      <w:proofErr w:type="gramEnd"/>
    </w:p>
    <w:p w14:paraId="7F2EEE58" w14:textId="77777777" w:rsidR="006F3E29" w:rsidRDefault="00DE31E0">
      <w:pPr>
        <w:pStyle w:val="P68B1DB1-Normal3"/>
        <w:numPr>
          <w:ilvl w:val="0"/>
          <w:numId w:val="25"/>
        </w:numPr>
        <w:tabs>
          <w:tab w:val="clear" w:pos="720"/>
        </w:tabs>
        <w:autoSpaceDE w:val="0"/>
        <w:autoSpaceDN w:val="0"/>
        <w:adjustRightInd w:val="0"/>
        <w:spacing w:before="120" w:after="120"/>
        <w:ind w:left="284" w:hanging="284"/>
        <w:jc w:val="both"/>
      </w:pPr>
      <w:r>
        <w:t>L’observation des opérations et l’inspection des documents, des rapports, des enregistrements imprimés et électroniques du traitement des transactions, des procédures comptables (par exemple, rapprochement bancaire) et d’autres procédures d’approbation et de contrôle interne essentielles (par exemple, rapports périodiques de dépenses, budget — comparaisons effectives, examen et approbation des feuilles de présence, etc.</w:t>
      </w:r>
      <w:proofErr w:type="gramStart"/>
      <w:r>
        <w:t>);</w:t>
      </w:r>
      <w:proofErr w:type="gramEnd"/>
    </w:p>
    <w:p w14:paraId="26110F8D" w14:textId="77777777" w:rsidR="006F3E29" w:rsidRDefault="00DE31E0">
      <w:pPr>
        <w:pStyle w:val="P68B1DB1-Normal3"/>
        <w:numPr>
          <w:ilvl w:val="0"/>
          <w:numId w:val="25"/>
        </w:numPr>
        <w:tabs>
          <w:tab w:val="clear" w:pos="720"/>
        </w:tabs>
        <w:autoSpaceDE w:val="0"/>
        <w:autoSpaceDN w:val="0"/>
        <w:adjustRightInd w:val="0"/>
        <w:spacing w:before="120" w:after="120"/>
        <w:ind w:left="284" w:hanging="284"/>
        <w:jc w:val="both"/>
      </w:pPr>
      <w:r>
        <w:t>Réexécution des procédures de contrôle interne.</w:t>
      </w:r>
    </w:p>
    <w:p w14:paraId="3B28053E" w14:textId="31D384C8" w:rsidR="006F3E29" w:rsidRDefault="00DE31E0">
      <w:pPr>
        <w:pStyle w:val="P68B1DB1-Normal3"/>
        <w:autoSpaceDE w:val="0"/>
        <w:autoSpaceDN w:val="0"/>
        <w:adjustRightInd w:val="0"/>
        <w:spacing w:before="120" w:after="120"/>
        <w:jc w:val="both"/>
        <w:rPr>
          <w:rFonts w:ascii="Arial" w:hAnsi="Arial" w:cs="Arial"/>
          <w:i/>
          <w:sz w:val="20"/>
        </w:rPr>
      </w:pPr>
      <w:r>
        <w:t>Le praticien peut envisager d’utiliser des diagrammes ou des questionnaires pour faciliter l’évaluation de la conception des contrôles internes.</w:t>
      </w:r>
    </w:p>
    <w:p w14:paraId="792ACC75" w14:textId="77777777" w:rsidR="006F3E29" w:rsidRDefault="00DE31E0">
      <w:pPr>
        <w:pStyle w:val="P68B1DB1-Normal2"/>
        <w:spacing w:before="240" w:after="120"/>
        <w:ind w:left="284" w:hanging="284"/>
      </w:pPr>
      <w:r>
        <w:t>2</w:t>
      </w:r>
      <w:r>
        <w:tab/>
        <w:t>Tests des contrôles</w:t>
      </w:r>
    </w:p>
    <w:p w14:paraId="3091963A" w14:textId="7A39AE4B" w:rsidR="006F3E29" w:rsidRDefault="00DE31E0">
      <w:pPr>
        <w:pStyle w:val="P68B1DB1-Normal6"/>
        <w:spacing w:before="120" w:after="120"/>
        <w:jc w:val="both"/>
        <w:rPr>
          <w:rFonts w:ascii="Arial" w:hAnsi="Arial"/>
          <w:i/>
          <w:sz w:val="20"/>
        </w:rPr>
      </w:pPr>
      <w:r>
        <w:t xml:space="preserve">Les travaux devraient comprendre une évaluation de </w:t>
      </w:r>
      <w:r w:rsidRPr="00BD6706">
        <w:rPr>
          <w:b/>
          <w:bCs/>
        </w:rPr>
        <w:t xml:space="preserve">l’efficacité </w:t>
      </w:r>
      <w:r w:rsidR="006E3225" w:rsidRPr="006E3225">
        <w:rPr>
          <w:b/>
          <w:bCs/>
        </w:rPr>
        <w:t xml:space="preserve">opérationnelle </w:t>
      </w:r>
      <w:r w:rsidRPr="006E3225">
        <w:t>du système de contrôle interne</w:t>
      </w:r>
      <w:r>
        <w:t>.</w:t>
      </w:r>
    </w:p>
    <w:p w14:paraId="7ACC8C84" w14:textId="28205410" w:rsidR="006F3E29" w:rsidRDefault="00DE31E0">
      <w:pPr>
        <w:pStyle w:val="P68B1DB1-Normal7"/>
        <w:autoSpaceDE w:val="0"/>
        <w:autoSpaceDN w:val="0"/>
        <w:adjustRightInd w:val="0"/>
        <w:spacing w:before="120" w:after="120"/>
        <w:jc w:val="both"/>
      </w:pPr>
      <w:r>
        <w:t>Le praticien d</w:t>
      </w:r>
      <w:r w:rsidR="00BD6706">
        <w:t>o</w:t>
      </w:r>
      <w:r>
        <w:t>it tester les contrôles internes qui ont été jugés nécessaires pour atteindre les objectifs de contrôle interne et évaluer leur efficacité opérationnelle tout au long de la période.</w:t>
      </w:r>
    </w:p>
    <w:p w14:paraId="3AE3006C" w14:textId="77777777" w:rsidR="006F3E29" w:rsidRDefault="00DE31E0">
      <w:pPr>
        <w:pStyle w:val="P68B1DB1-Normal3"/>
        <w:autoSpaceDE w:val="0"/>
        <w:autoSpaceDN w:val="0"/>
        <w:adjustRightInd w:val="0"/>
        <w:spacing w:before="120" w:after="120"/>
        <w:jc w:val="both"/>
      </w:pPr>
      <w:r>
        <w:t xml:space="preserve">Un contrôle interne fonctionne efficacement si, individuellement ou en combinaison avec d’autres contrôles, il fournit l’assurance raisonnable </w:t>
      </w:r>
      <w:proofErr w:type="gramStart"/>
      <w:r>
        <w:t>que:</w:t>
      </w:r>
      <w:proofErr w:type="gramEnd"/>
      <w:r>
        <w:t xml:space="preserve"> </w:t>
      </w:r>
    </w:p>
    <w:p w14:paraId="40FA2FD0" w14:textId="77777777" w:rsidR="006F3E29" w:rsidRDefault="00DE31E0">
      <w:pPr>
        <w:pStyle w:val="P68B1DB1-Normal3"/>
        <w:numPr>
          <w:ilvl w:val="0"/>
          <w:numId w:val="27"/>
        </w:numPr>
        <w:tabs>
          <w:tab w:val="clear" w:pos="720"/>
        </w:tabs>
        <w:autoSpaceDE w:val="0"/>
        <w:autoSpaceDN w:val="0"/>
        <w:adjustRightInd w:val="0"/>
        <w:spacing w:before="120" w:after="120"/>
        <w:ind w:left="284" w:hanging="284"/>
        <w:jc w:val="both"/>
        <w:rPr>
          <w:color w:val="000000"/>
        </w:rPr>
      </w:pPr>
      <w:r>
        <w:t xml:space="preserve">Les objectifs de contrôle interne de l’entité sont atteints et, en particulier, que </w:t>
      </w:r>
      <w:r>
        <w:rPr>
          <w:rFonts w:cs="Arial"/>
        </w:rPr>
        <w:t xml:space="preserve">les risques pesant sur la réalisation des objectifs du projet sont correctement gérés et </w:t>
      </w:r>
      <w:proofErr w:type="gramStart"/>
      <w:r>
        <w:rPr>
          <w:rFonts w:cs="Arial"/>
        </w:rPr>
        <w:t>contrôlés;</w:t>
      </w:r>
      <w:proofErr w:type="gramEnd"/>
    </w:p>
    <w:p w14:paraId="2BD5CD53" w14:textId="4FFB2E97" w:rsidR="006F3E29" w:rsidRDefault="00DE31E0">
      <w:pPr>
        <w:pStyle w:val="P68B1DB1-Normal3"/>
        <w:numPr>
          <w:ilvl w:val="0"/>
          <w:numId w:val="27"/>
        </w:numPr>
        <w:tabs>
          <w:tab w:val="clear" w:pos="720"/>
        </w:tabs>
        <w:autoSpaceDE w:val="0"/>
        <w:autoSpaceDN w:val="0"/>
        <w:adjustRightInd w:val="0"/>
        <w:spacing w:before="120" w:after="120"/>
        <w:ind w:left="284" w:hanging="284"/>
        <w:jc w:val="both"/>
        <w:rPr>
          <w:rFonts w:cs="Arial"/>
        </w:rPr>
      </w:pPr>
      <w:r>
        <w:t xml:space="preserve">Les </w:t>
      </w:r>
      <w:r>
        <w:rPr>
          <w:rFonts w:cs="Arial"/>
        </w:rPr>
        <w:t xml:space="preserve">risques d’erreur, d’irrégularités et de fraude en ce qui concerne le financement des projets sont </w:t>
      </w:r>
      <w:r w:rsidR="00ED7151">
        <w:rPr>
          <w:rFonts w:cs="Arial"/>
        </w:rPr>
        <w:t xml:space="preserve">évités ou détectés </w:t>
      </w:r>
      <w:r>
        <w:rPr>
          <w:rFonts w:cs="Arial"/>
        </w:rPr>
        <w:t xml:space="preserve">correctement et </w:t>
      </w:r>
      <w:r w:rsidR="00ED7151">
        <w:rPr>
          <w:rFonts w:cs="Arial"/>
        </w:rPr>
        <w:t>en temps utile</w:t>
      </w:r>
      <w:r>
        <w:rPr>
          <w:rFonts w:cs="Arial"/>
        </w:rPr>
        <w:t>.</w:t>
      </w:r>
    </w:p>
    <w:p w14:paraId="6AA91AA4" w14:textId="2D2536C2" w:rsidR="006F3E29" w:rsidRDefault="00DE31E0">
      <w:pPr>
        <w:pStyle w:val="P68B1DB1-Normal7"/>
        <w:autoSpaceDE w:val="0"/>
        <w:autoSpaceDN w:val="0"/>
        <w:adjustRightInd w:val="0"/>
        <w:spacing w:before="120" w:after="120"/>
        <w:ind w:left="284" w:hanging="284"/>
        <w:jc w:val="both"/>
      </w:pPr>
      <w:r>
        <w:t xml:space="preserve">Lors de la conception et de la réalisation de tests de contrôle, le praticien </w:t>
      </w:r>
      <w:proofErr w:type="gramStart"/>
      <w:r>
        <w:t>d</w:t>
      </w:r>
      <w:r w:rsidR="00BD6706">
        <w:t>o</w:t>
      </w:r>
      <w:r>
        <w:t>it:</w:t>
      </w:r>
      <w:proofErr w:type="gramEnd"/>
    </w:p>
    <w:p w14:paraId="3D7F7726" w14:textId="77777777" w:rsidR="006F3E29" w:rsidRDefault="00DE31E0">
      <w:pPr>
        <w:pStyle w:val="P68B1DB1-Normal7"/>
        <w:numPr>
          <w:ilvl w:val="0"/>
          <w:numId w:val="29"/>
        </w:numPr>
        <w:tabs>
          <w:tab w:val="clear" w:pos="720"/>
        </w:tabs>
        <w:autoSpaceDE w:val="0"/>
        <w:autoSpaceDN w:val="0"/>
        <w:adjustRightInd w:val="0"/>
        <w:spacing w:before="120" w:after="120"/>
        <w:ind w:left="284" w:hanging="284"/>
        <w:jc w:val="both"/>
      </w:pPr>
      <w:r>
        <w:t xml:space="preserve">Effectuer d’autres procédures en plus des demandes d’informations afin d’obtenir des éléments probants </w:t>
      </w:r>
      <w:proofErr w:type="gramStart"/>
      <w:r>
        <w:t>concernant:</w:t>
      </w:r>
      <w:proofErr w:type="gramEnd"/>
    </w:p>
    <w:p w14:paraId="4EBE4546" w14:textId="77777777" w:rsidR="006F3E29" w:rsidRDefault="00DE31E0">
      <w:pPr>
        <w:pStyle w:val="P68B1DB1-Normal7"/>
        <w:autoSpaceDE w:val="0"/>
        <w:autoSpaceDN w:val="0"/>
        <w:adjustRightInd w:val="0"/>
        <w:spacing w:before="120" w:after="120"/>
        <w:ind w:left="720"/>
        <w:jc w:val="both"/>
      </w:pPr>
      <w:r>
        <w:t xml:space="preserve">— La manière dont le contrôle interne a été </w:t>
      </w:r>
      <w:proofErr w:type="gramStart"/>
      <w:r>
        <w:t>appliqué;</w:t>
      </w:r>
      <w:proofErr w:type="gramEnd"/>
    </w:p>
    <w:p w14:paraId="63372A92" w14:textId="77777777" w:rsidR="006F3E29" w:rsidRDefault="00DE31E0">
      <w:pPr>
        <w:pStyle w:val="P68B1DB1-Normal7"/>
        <w:autoSpaceDE w:val="0"/>
        <w:autoSpaceDN w:val="0"/>
        <w:adjustRightInd w:val="0"/>
        <w:spacing w:before="120" w:after="120"/>
        <w:ind w:left="720"/>
        <w:jc w:val="both"/>
      </w:pPr>
      <w:r>
        <w:t xml:space="preserve">— La cohérence avec laquelle le contrôle interne a été </w:t>
      </w:r>
      <w:proofErr w:type="gramStart"/>
      <w:r>
        <w:t>appliqué;</w:t>
      </w:r>
      <w:proofErr w:type="gramEnd"/>
      <w:r>
        <w:t xml:space="preserve"> et</w:t>
      </w:r>
    </w:p>
    <w:p w14:paraId="5FA4F8D8" w14:textId="79B60E6D" w:rsidR="006F3E29" w:rsidRDefault="00DE31E0">
      <w:pPr>
        <w:pStyle w:val="P68B1DB1-Normal7"/>
        <w:autoSpaceDE w:val="0"/>
        <w:autoSpaceDN w:val="0"/>
        <w:adjustRightInd w:val="0"/>
        <w:spacing w:before="120" w:after="120"/>
        <w:ind w:left="720"/>
        <w:jc w:val="both"/>
      </w:pPr>
      <w:r>
        <w:t>— Par qui ou par quels moyens le contrôle interne a été appliqué</w:t>
      </w:r>
      <w:r w:rsidR="00E42DB8">
        <w:t>.</w:t>
      </w:r>
    </w:p>
    <w:p w14:paraId="3DBB8E5F" w14:textId="77777777" w:rsidR="006F3E29" w:rsidRDefault="00DE31E0">
      <w:pPr>
        <w:pStyle w:val="P68B1DB1-Normal7"/>
        <w:numPr>
          <w:ilvl w:val="0"/>
          <w:numId w:val="29"/>
        </w:numPr>
        <w:tabs>
          <w:tab w:val="clear" w:pos="720"/>
        </w:tabs>
        <w:autoSpaceDE w:val="0"/>
        <w:autoSpaceDN w:val="0"/>
        <w:adjustRightInd w:val="0"/>
        <w:spacing w:before="120" w:after="120"/>
        <w:ind w:left="284" w:hanging="284"/>
        <w:jc w:val="both"/>
      </w:pPr>
      <w:r>
        <w:t xml:space="preserve">Déterminer si les contrôles internes à tester dépendent d’autres contrôles (contrôles indirects) et, dans l’affirmative, s’il est nécessaire d’obtenir des éléments probants étayant l’efficacité opérationnelle de ces contrôles </w:t>
      </w:r>
      <w:proofErr w:type="gramStart"/>
      <w:r>
        <w:t>indirects;</w:t>
      </w:r>
      <w:proofErr w:type="gramEnd"/>
      <w:r>
        <w:t xml:space="preserve"> et</w:t>
      </w:r>
    </w:p>
    <w:p w14:paraId="7F7E2AC0" w14:textId="77777777" w:rsidR="006F3E29" w:rsidRDefault="00DE31E0">
      <w:pPr>
        <w:pStyle w:val="P68B1DB1-Normal7"/>
        <w:numPr>
          <w:ilvl w:val="0"/>
          <w:numId w:val="29"/>
        </w:numPr>
        <w:tabs>
          <w:tab w:val="clear" w:pos="720"/>
        </w:tabs>
        <w:autoSpaceDE w:val="0"/>
        <w:autoSpaceDN w:val="0"/>
        <w:adjustRightInd w:val="0"/>
        <w:spacing w:before="120" w:after="120"/>
        <w:ind w:left="284" w:hanging="284"/>
        <w:jc w:val="both"/>
      </w:pPr>
      <w:r>
        <w:lastRenderedPageBreak/>
        <w:t>Déterminer les moyens de sélection des éléments à tester qui sont efficaces pour atteindre les objectifs de la procédure.</w:t>
      </w:r>
    </w:p>
    <w:p w14:paraId="15B29C76" w14:textId="6B1EFBA6" w:rsidR="006F3E29" w:rsidRDefault="00DE31E0">
      <w:pPr>
        <w:pStyle w:val="P68B1DB1-Normal7"/>
        <w:keepLines/>
        <w:spacing w:before="120" w:after="120"/>
        <w:ind w:left="284"/>
        <w:jc w:val="both"/>
      </w:pPr>
      <w:r>
        <w:t xml:space="preserve">Lorsqu’il détermine l’étendue des tests des contrôles, le praticien prend en considération des aspects tels que les caractéristiques de la population à tester, notamment la nature des contrôles, la fréquence de leur application (par exemple, mensuel, journalier, </w:t>
      </w:r>
      <w:r w:rsidR="00ED7151">
        <w:t xml:space="preserve">un certain </w:t>
      </w:r>
      <w:r>
        <w:t>nombre de fois par jour) et le taux d’écart attendu.</w:t>
      </w:r>
    </w:p>
    <w:p w14:paraId="23D3A549" w14:textId="3A26E0B5" w:rsidR="006F3E29" w:rsidRDefault="00DE31E0">
      <w:pPr>
        <w:pStyle w:val="P68B1DB1-Normal3"/>
        <w:spacing w:before="120" w:after="120"/>
        <w:ind w:left="284"/>
        <w:jc w:val="both"/>
      </w:pPr>
      <w:r>
        <w:t xml:space="preserve">Les procédures d’audit pour les tests des contrôles peuvent inclure, sans s’y limiter, l’inspection (des registres, des documents et des actifs), l’observation, l’enquête de la direction et autres au sein de l’entité, la confirmation, le </w:t>
      </w:r>
      <w:r w:rsidR="00ED7151">
        <w:t>re</w:t>
      </w:r>
      <w:r>
        <w:t>calcul et la réexécution.</w:t>
      </w:r>
    </w:p>
    <w:p w14:paraId="0D2F2C38" w14:textId="77777777" w:rsidR="006F3E29" w:rsidRDefault="00DE31E0">
      <w:pPr>
        <w:pStyle w:val="P68B1DB1-Normal2"/>
        <w:spacing w:before="120" w:after="120"/>
        <w:ind w:left="284" w:hanging="284"/>
      </w:pPr>
      <w:r>
        <w:t>3</w:t>
      </w:r>
      <w:r>
        <w:tab/>
        <w:t>Échantillonnage et autres moyens de sélection des éléments à tester</w:t>
      </w:r>
    </w:p>
    <w:p w14:paraId="1661FD4B" w14:textId="502970C5" w:rsidR="006F3E29" w:rsidRDefault="00DE31E0">
      <w:pPr>
        <w:pStyle w:val="P68B1DB1-Normal3"/>
        <w:spacing w:before="120" w:after="120"/>
        <w:jc w:val="both"/>
      </w:pPr>
      <w:r>
        <w:t xml:space="preserve">Lors de la conception et de la réalisation des tests des contrôles, le praticien peut recourir à un échantillonnage d’audit ou à d’autres moyens de sélection des éléments à tester. L’échantillonnage d’audit consiste à appliquer des procédures d’audit à moins de 100 % des éléments d’une population </w:t>
      </w:r>
      <w:r w:rsidR="001D7730">
        <w:t xml:space="preserve">pertinente </w:t>
      </w:r>
      <w:r>
        <w:t xml:space="preserve">pour l’audit (par exemple, une catégorie de transactions ou un solde de compte) de sorte que toutes les unités d’échantillonnage aient une chance de sélection afin de fournir au praticien une base raisonnable pour tirer des conclusions sur l’ensemble de la population. </w:t>
      </w:r>
    </w:p>
    <w:p w14:paraId="02EB89DF" w14:textId="3C5E6CFB" w:rsidR="006F3E29" w:rsidRDefault="00DE31E0">
      <w:pPr>
        <w:pStyle w:val="P68B1DB1-Normal3"/>
        <w:autoSpaceDE w:val="0"/>
        <w:autoSpaceDN w:val="0"/>
        <w:adjustRightInd w:val="0"/>
        <w:spacing w:before="120" w:after="120"/>
        <w:jc w:val="both"/>
      </w:pPr>
      <w:r>
        <w:t xml:space="preserve">L’échantillonnage d’audit peut s’appuyer soit sur une approche statistique, soit sur une approche non statistique. Le praticien peut utiliser une sélection discrétionnaire d’éléments spécifiques provenant d’une population (par exemple, éléments de grande valeur ou éléments clés, tous les éléments dépassant un certain montant, éléments pour obtenir des informations ou des éléments pour tester les activités de contrôle). </w:t>
      </w:r>
    </w:p>
    <w:p w14:paraId="3EEDC74D" w14:textId="4073988B" w:rsidR="006F3E29" w:rsidRDefault="00DE31E0">
      <w:pPr>
        <w:pStyle w:val="P68B1DB1-Normal3"/>
        <w:autoSpaceDE w:val="0"/>
        <w:autoSpaceDN w:val="0"/>
        <w:adjustRightInd w:val="0"/>
        <w:spacing w:before="120" w:after="120"/>
        <w:jc w:val="both"/>
      </w:pPr>
      <w:r>
        <w:t xml:space="preserve">L’examen sélectif ne constitue pas un échantillonnage d’audit. Bien que l’examen sélectif d’éléments spécifiques représente souvent un moyen efficace de collecte d’éléments probants, il ne constitue pas pour autant un échantillonnage. Les résultats des procédures appliquées aux biens ainsi sélectionnés ne peuvent pas être projetés sur l’ensemble de la </w:t>
      </w:r>
      <w:proofErr w:type="gramStart"/>
      <w:r>
        <w:t>population;</w:t>
      </w:r>
      <w:proofErr w:type="gramEnd"/>
      <w:r>
        <w:t xml:space="preserve"> par conséquent, l’examen sélectif des éléments spécifiques ne fournit pas d’éléments probants concernant le reste de la population. L’échantillonnage, en revanche, est conçu de manière à permettre de tirer de</w:t>
      </w:r>
      <w:r w:rsidR="001D7730">
        <w:t>s</w:t>
      </w:r>
      <w:r>
        <w:t xml:space="preserve"> </w:t>
      </w:r>
      <w:r w:rsidR="001D7730">
        <w:t xml:space="preserve">conclusions sur l’ensemble d’une population à </w:t>
      </w:r>
      <w:proofErr w:type="gramStart"/>
      <w:r w:rsidR="001D7730">
        <w:t>partir  des</w:t>
      </w:r>
      <w:proofErr w:type="gramEnd"/>
      <w:r w:rsidR="001D7730">
        <w:t xml:space="preserve"> </w:t>
      </w:r>
      <w:r>
        <w:t xml:space="preserve">tests effectués sur un échantillon sélectionné </w:t>
      </w:r>
      <w:r w:rsidR="001D7730">
        <w:t>de cette population</w:t>
      </w:r>
    </w:p>
    <w:p w14:paraId="47A6CF55" w14:textId="77777777" w:rsidR="006F3E29" w:rsidRDefault="00DE31E0">
      <w:pPr>
        <w:pStyle w:val="P68B1DB1-Normal2"/>
        <w:spacing w:before="240" w:after="120"/>
        <w:ind w:left="284" w:hanging="284"/>
      </w:pPr>
      <w:r>
        <w:t>4</w:t>
      </w:r>
      <w:r>
        <w:tab/>
        <w:t>Utilisation des travaux des auditeurs internes</w:t>
      </w:r>
    </w:p>
    <w:p w14:paraId="7BA2D83E" w14:textId="669C6291" w:rsidR="006F3E29" w:rsidRDefault="00DE31E0">
      <w:pPr>
        <w:pStyle w:val="P68B1DB1-Normal3"/>
        <w:keepLines/>
        <w:spacing w:before="120" w:after="120"/>
        <w:jc w:val="both"/>
      </w:pPr>
      <w:r>
        <w:t xml:space="preserve">Lorsque le praticien détermine qu’une fonction d’audit interne est susceptible d’être pertinente pour l’audit, il (a) détermine si, et dans quelle mesure, les travaux spécifiques des auditeurs internes peuvent être utilisés, et (b) s’il utilise les travaux spécifiques des auditeurs internes, si ces travaux sont appropriés aux fins de l’audit. Le praticien doit se conformer à la </w:t>
      </w:r>
      <w:r>
        <w:rPr>
          <w:i/>
        </w:rPr>
        <w:t>norme ISA 610 (révisée)</w:t>
      </w:r>
      <w:proofErr w:type="gramStart"/>
      <w:r>
        <w:t xml:space="preserve"> </w:t>
      </w:r>
      <w:r>
        <w:rPr>
          <w:i/>
        </w:rPr>
        <w:t>«Utilisation</w:t>
      </w:r>
      <w:proofErr w:type="gramEnd"/>
      <w:r>
        <w:rPr>
          <w:i/>
        </w:rPr>
        <w:t xml:space="preserve"> des travaux des auditeurs internes»</w:t>
      </w:r>
      <w:r>
        <w:t xml:space="preserve"> dans la mesure où cette ISA est pertinente pour l’audit.</w:t>
      </w:r>
    </w:p>
    <w:p w14:paraId="0E7E53F8" w14:textId="77777777" w:rsidR="006F3E29" w:rsidRDefault="00DE31E0">
      <w:pPr>
        <w:pStyle w:val="P68B1DB1-Normal2"/>
        <w:spacing w:before="240" w:after="120"/>
        <w:ind w:left="284" w:hanging="284"/>
      </w:pPr>
      <w:r>
        <w:br w:type="page"/>
      </w:r>
      <w:r>
        <w:lastRenderedPageBreak/>
        <w:t>5</w:t>
      </w:r>
      <w:r>
        <w:tab/>
        <w:t>Déclarations écrites</w:t>
      </w:r>
    </w:p>
    <w:p w14:paraId="642E6B67" w14:textId="7BE47CAA" w:rsidR="006F3E29" w:rsidRDefault="00DE31E0">
      <w:pPr>
        <w:pStyle w:val="P68B1DB1-Normal3"/>
        <w:keepLines/>
        <w:spacing w:before="120" w:after="120"/>
        <w:jc w:val="both"/>
      </w:pPr>
      <w:r>
        <w:t>Dans les missions d’assurance autres que les audits ou les examens d’informations financières historiques (ISAE 3000 révisée), le praticien doit obtenir des déclarations</w:t>
      </w:r>
      <w:r w:rsidR="00665879">
        <w:t>/représentations</w:t>
      </w:r>
      <w:r>
        <w:t xml:space="preserve"> de la direction. Une représentation écrite est une déclaration de la direction fournie au praticien pour confirmer certains éléments ou étayer d’autres éléments probants. La Commission n’exige pas que le praticien obtienne des </w:t>
      </w:r>
      <w:r w:rsidR="00665879">
        <w:t xml:space="preserve">déclarations </w:t>
      </w:r>
      <w:r>
        <w:t xml:space="preserve">écrites, mais cela est recommandé. Le praticien peut demander une lettre de représentation signée par le ou les membres de la direction de l’entité qui sont </w:t>
      </w:r>
      <w:r w:rsidR="00665879">
        <w:t xml:space="preserve">les principaux </w:t>
      </w:r>
      <w:r>
        <w:t>responsables du projet et de ses aspects financiers. Le praticien peut demander une lettre de représentation dans les cas où il existe un point spécifique pour obtenir une vérification complémentaire.</w:t>
      </w:r>
    </w:p>
    <w:p w14:paraId="309B771C" w14:textId="58545E8A" w:rsidR="006F3E29" w:rsidRDefault="00CF1E3A">
      <w:pPr>
        <w:pStyle w:val="P68B1DB1-Normal2"/>
        <w:keepLines/>
        <w:spacing w:before="240" w:after="120"/>
        <w:ind w:left="284" w:hanging="284"/>
      </w:pPr>
      <w:r>
        <w:t>6</w:t>
      </w:r>
      <w:r w:rsidR="00DE31E0">
        <w:tab/>
        <w:t>Lettre complémentaire</w:t>
      </w:r>
    </w:p>
    <w:p w14:paraId="230622BB" w14:textId="7F88559C" w:rsidR="006F3E29" w:rsidRDefault="00DE31E0">
      <w:pPr>
        <w:pStyle w:val="P68B1DB1-Normal3"/>
        <w:keepLines/>
        <w:spacing w:before="120" w:after="120"/>
        <w:jc w:val="both"/>
      </w:pPr>
      <w:r>
        <w:t xml:space="preserve">Le praticien peut, à tout moment du processus d’audit, rédiger une lettre complémentaire s’il estime que la Commission devrait être informée de faits et de questions qui sont ou peuvent être urgents ou présentant un intérêt et une importance particuliers pour la Commission. </w:t>
      </w:r>
    </w:p>
    <w:p w14:paraId="11F64692" w14:textId="77777777" w:rsidR="006F3E29" w:rsidRDefault="00DE31E0">
      <w:pPr>
        <w:pStyle w:val="P68B1DB1-Normal3"/>
        <w:keepLines/>
        <w:spacing w:before="120" w:after="120"/>
        <w:jc w:val="both"/>
      </w:pPr>
      <w:r>
        <w:t>Il peut s’agir de questions qui ne relèvent pas du champ d’application de l’audit et/ou dont la nature peut être confidentielle ou sensible, y compris, par exemple, les indications et les preuves de fraude ou d’irrégularités.</w:t>
      </w:r>
    </w:p>
    <w:p w14:paraId="4D65F3BE" w14:textId="2C49415A" w:rsidR="006F3E29" w:rsidRDefault="00DE31E0">
      <w:pPr>
        <w:pStyle w:val="P68B1DB1-Normal3"/>
        <w:spacing w:before="120" w:after="120"/>
        <w:jc w:val="both"/>
        <w:rPr>
          <w:i/>
        </w:rPr>
      </w:pPr>
      <w:r>
        <w:t>Le praticien doit soumettre la lettre complémentaire à la Commission sous la forme d’une lettre séparée et confidentielle, indépendante du rapport d’audit et adressée uniquement à la Commission. L’ATM garantira une distribution correcte et en temps utile aux services compétents de la Commission.</w:t>
      </w:r>
    </w:p>
    <w:p w14:paraId="063ECB09" w14:textId="37BBAB93" w:rsidR="006F3E29" w:rsidRDefault="00CF1E3A">
      <w:pPr>
        <w:pStyle w:val="P68B1DB1-Normal8"/>
        <w:keepLines/>
        <w:spacing w:before="240" w:after="120"/>
        <w:ind w:left="284" w:hanging="284"/>
      </w:pPr>
      <w:r>
        <w:t>7</w:t>
      </w:r>
      <w:r w:rsidR="00DE31E0">
        <w:tab/>
        <w:t xml:space="preserve">Note de compte rendu </w:t>
      </w:r>
      <w:proofErr w:type="gramStart"/>
      <w:r w:rsidR="00DE31E0">
        <w:t>(«</w:t>
      </w:r>
      <w:proofErr w:type="spellStart"/>
      <w:r w:rsidR="00DE31E0">
        <w:t>Aide</w:t>
      </w:r>
      <w:proofErr w:type="gramEnd"/>
      <w:r w:rsidR="00DE31E0">
        <w:t xml:space="preserve"> Mémoire</w:t>
      </w:r>
      <w:proofErr w:type="spellEnd"/>
      <w:r w:rsidR="00DE31E0">
        <w:t>»)</w:t>
      </w:r>
    </w:p>
    <w:p w14:paraId="0C7DCFCA" w14:textId="1F0B433B" w:rsidR="006F3E29" w:rsidRDefault="00DE31E0">
      <w:pPr>
        <w:pStyle w:val="P68B1DB1-Normal3"/>
        <w:keepLines/>
        <w:spacing w:before="120" w:after="120"/>
        <w:jc w:val="both"/>
      </w:pPr>
      <w:r>
        <w:t>Le praticien préparera un mémorandum d’information</w:t>
      </w:r>
      <w:r w:rsidR="00F904AD">
        <w:t>/compte rendu</w:t>
      </w:r>
      <w:r>
        <w:t xml:space="preserve"> pour discussion lors de la réunion de clôture. La note d</w:t>
      </w:r>
      <w:r w:rsidR="00F904AD">
        <w:t>e compte rendu</w:t>
      </w:r>
      <w:r>
        <w:t xml:space="preserve"> doit présenter les principales conclusions de l’audit qui ont été tirées des travaux de terrain et des recommandations. Une copie du protocole doit être envoyée à l’ATM.</w:t>
      </w:r>
    </w:p>
    <w:p w14:paraId="09268D4F" w14:textId="35B1FF45" w:rsidR="006F3E29" w:rsidRDefault="00CF1E3A">
      <w:pPr>
        <w:pStyle w:val="P68B1DB1-Normal8"/>
        <w:keepLines/>
        <w:spacing w:before="240" w:after="120"/>
        <w:ind w:left="284" w:hanging="284"/>
      </w:pPr>
      <w:r>
        <w:t>8</w:t>
      </w:r>
      <w:r w:rsidR="00DE31E0">
        <w:tab/>
        <w:t>Réunion de clôture</w:t>
      </w:r>
    </w:p>
    <w:p w14:paraId="03FF8C29" w14:textId="389F7B5A" w:rsidR="006F3E29" w:rsidRDefault="00DE31E0">
      <w:pPr>
        <w:pStyle w:val="P68B1DB1-Normal3"/>
        <w:spacing w:before="120" w:after="120"/>
        <w:jc w:val="both"/>
        <w:rPr>
          <w:color w:val="000000"/>
        </w:rPr>
      </w:pPr>
      <w:r>
        <w:rPr>
          <w:color w:val="000000"/>
        </w:rPr>
        <w:t xml:space="preserve">Le praticien doit organiser une réunion de clôture avec l’entité. </w:t>
      </w:r>
      <w:r w:rsidR="00CF1E3A">
        <w:rPr>
          <w:color w:val="000000"/>
        </w:rPr>
        <w:t>L’ATM</w:t>
      </w:r>
      <w:r>
        <w:rPr>
          <w:color w:val="000000"/>
        </w:rPr>
        <w:t xml:space="preserve"> et d’autres représentants de la Commission peuvent assister à la réunion. L’objectif de cette réunion est de discuter du mémorandum </w:t>
      </w:r>
      <w:r w:rsidR="00F904AD">
        <w:rPr>
          <w:color w:val="000000"/>
        </w:rPr>
        <w:t>de compte rendu</w:t>
      </w:r>
      <w:r>
        <w:rPr>
          <w:color w:val="000000"/>
        </w:rPr>
        <w:t xml:space="preserve"> et d’obtenir la confirmation et les premiers commentaires de l’entité sur les conclusions et recommandations du praticien. Le praticien et l’Entité peuvent convenir que les informations en suspens doivent être fournies par l’Entité et, le cas échéant, fixer un délai de soumission. Le praticien peut informer l’entité </w:t>
      </w:r>
      <w:r w:rsidR="00F904AD">
        <w:rPr>
          <w:color w:val="000000"/>
        </w:rPr>
        <w:t>sur l</w:t>
      </w:r>
      <w:r>
        <w:rPr>
          <w:color w:val="000000"/>
        </w:rPr>
        <w:t>es procédures</w:t>
      </w:r>
      <w:r w:rsidR="00F904AD">
        <w:rPr>
          <w:color w:val="000000"/>
        </w:rPr>
        <w:t xml:space="preserve"> concernant les rapports</w:t>
      </w:r>
      <w:r>
        <w:rPr>
          <w:color w:val="000000"/>
        </w:rPr>
        <w:t xml:space="preserve">. Le praticien </w:t>
      </w:r>
      <w:r>
        <w:t xml:space="preserve">doit </w:t>
      </w:r>
      <w:r>
        <w:rPr>
          <w:color w:val="000000"/>
        </w:rPr>
        <w:t>documenter les observations (verbales et écrites) formulées par l’entité et par les représentants de la Commission et en tenir compte dans le rapport d’audit.</w:t>
      </w:r>
    </w:p>
    <w:p w14:paraId="1CB49354" w14:textId="77777777" w:rsidR="006F3E29" w:rsidRDefault="00DE31E0">
      <w:pPr>
        <w:pStyle w:val="P68B1DB1-Normal1"/>
        <w:spacing w:before="360" w:after="120"/>
      </w:pPr>
      <w:r>
        <w:br w:type="page"/>
      </w:r>
      <w:r>
        <w:lastRenderedPageBreak/>
        <w:t>2.4</w:t>
      </w:r>
      <w:r>
        <w:tab/>
        <w:t>Rapports</w:t>
      </w:r>
    </w:p>
    <w:p w14:paraId="54B6F382" w14:textId="77777777" w:rsidR="006F3E29" w:rsidRDefault="00DE31E0">
      <w:pPr>
        <w:pStyle w:val="P68B1DB1-Normal2"/>
        <w:keepLines/>
        <w:spacing w:before="120" w:after="120"/>
        <w:ind w:left="284" w:hanging="284"/>
      </w:pPr>
      <w:r>
        <w:t>1</w:t>
      </w:r>
      <w:r>
        <w:tab/>
        <w:t>Exigences de base en matière de rapports et langue</w:t>
      </w:r>
    </w:p>
    <w:p w14:paraId="65D5C997" w14:textId="00CB3DD3" w:rsidR="006F3E29" w:rsidRDefault="00DE31E0">
      <w:pPr>
        <w:pStyle w:val="P68B1DB1-Normal3"/>
        <w:keepLines/>
        <w:spacing w:before="120" w:after="120"/>
        <w:jc w:val="both"/>
      </w:pPr>
      <w:r>
        <w:t>Le praticien doit communiquer les résultats de l’audit conformément au cadre international pour les missions d’assurance de l’IFAC et à l’ISAE 3000 (révisée), aux pratiques du cabinet d’audit et aux exigences du présent cahier des charges.</w:t>
      </w:r>
    </w:p>
    <w:p w14:paraId="1B918FF9" w14:textId="77777777" w:rsidR="006F3E29" w:rsidRDefault="00DE31E0">
      <w:pPr>
        <w:pStyle w:val="P68B1DB1-Normal3"/>
        <w:keepLines/>
        <w:spacing w:before="120" w:after="120"/>
        <w:jc w:val="both"/>
      </w:pPr>
      <w:r>
        <w:t xml:space="preserve">Le rapport d’audit doit être objectif, clair, concis, opportun et constructif. </w:t>
      </w:r>
    </w:p>
    <w:p w14:paraId="02EA8FFD" w14:textId="39990417" w:rsidR="006F3E29" w:rsidRDefault="00DE31E0">
      <w:pPr>
        <w:pStyle w:val="P68B1DB1-Normal3"/>
        <w:keepLines/>
        <w:spacing w:before="120" w:after="120"/>
        <w:jc w:val="both"/>
      </w:pPr>
      <w:r>
        <w:t>Le rapport doit être présenté dans la langue indiquée à la section 6.3 du cahier des charges. Si la langue du rapport n’est pas l’anglais ou le français, le praticien doit également fournir un résumé du rapport en anglais ou en français.</w:t>
      </w:r>
    </w:p>
    <w:p w14:paraId="3A9E32B6" w14:textId="77777777" w:rsidR="006F3E29" w:rsidRDefault="00DE31E0">
      <w:pPr>
        <w:pStyle w:val="P68B1DB1-Normal9"/>
        <w:keepLines/>
        <w:spacing w:before="240" w:after="120"/>
        <w:ind w:left="284" w:hanging="284"/>
        <w:rPr>
          <w:i/>
        </w:rPr>
      </w:pPr>
      <w:r>
        <w:t>2</w:t>
      </w:r>
      <w:r>
        <w:rPr>
          <w:i/>
        </w:rPr>
        <w:tab/>
        <w:t>Date du rapport d’audit et du rapport de l’auditeur indépendant</w:t>
      </w:r>
    </w:p>
    <w:p w14:paraId="2D168D0D" w14:textId="7686BE08" w:rsidR="006F3E29" w:rsidRDefault="00DE31E0">
      <w:pPr>
        <w:pStyle w:val="P68B1DB1-Normal3"/>
        <w:spacing w:before="120" w:after="120"/>
        <w:jc w:val="both"/>
      </w:pPr>
      <w:r>
        <w:t>La date du projet de rapport et du rapport pré</w:t>
      </w:r>
      <w:r w:rsidR="003961FD">
        <w:t>-</w:t>
      </w:r>
      <w:r>
        <w:t xml:space="preserve">final doit être la date à laquelle ces rapports sont envoyés pour consultation. La date figurant sur la page de couverture du rapport d’audit </w:t>
      </w:r>
      <w:r>
        <w:rPr>
          <w:u w:val="single"/>
        </w:rPr>
        <w:t>final</w:t>
      </w:r>
      <w:r>
        <w:t xml:space="preserve"> doit être celle de la signature du rapport </w:t>
      </w:r>
      <w:r>
        <w:rPr>
          <w:u w:val="single"/>
        </w:rPr>
        <w:t>final</w:t>
      </w:r>
      <w:r>
        <w:t xml:space="preserve"> de l’auditeur indépendant. </w:t>
      </w:r>
    </w:p>
    <w:p w14:paraId="4F81D6BD" w14:textId="6F99C306" w:rsidR="006F3E29" w:rsidRDefault="00DE31E0">
      <w:pPr>
        <w:pStyle w:val="P68B1DB1-Normal3"/>
        <w:spacing w:before="120" w:after="120"/>
        <w:jc w:val="both"/>
      </w:pPr>
      <w:r>
        <w:t xml:space="preserve">Les faits et événements qui ont été portés à l’attention du praticien </w:t>
      </w:r>
      <w:r>
        <w:rPr>
          <w:u w:val="single"/>
        </w:rPr>
        <w:t>avant</w:t>
      </w:r>
      <w:r>
        <w:t xml:space="preserve"> la signature du rapport </w:t>
      </w:r>
      <w:r>
        <w:rPr>
          <w:u w:val="single"/>
        </w:rPr>
        <w:t>final</w:t>
      </w:r>
      <w:r>
        <w:t xml:space="preserve"> de l’auditeur indépendant et qui ont une incidence sur ce rapport (c’est-à-dire sur l’avis et les conclusions) doivent être pris en considération. Toutefois, le praticien n’est pas tenu de s’enquérir de la direction de l’entité et/ou de mettre en œuvre d’autres procédures d’audit </w:t>
      </w:r>
      <w:r>
        <w:rPr>
          <w:u w:val="single"/>
        </w:rPr>
        <w:t>après</w:t>
      </w:r>
      <w:r>
        <w:t xml:space="preserve"> la réunion de clôture de l’audit et avant la signature du rapport final.</w:t>
      </w:r>
    </w:p>
    <w:p w14:paraId="0FCF2109" w14:textId="77777777" w:rsidR="006F3E29" w:rsidRDefault="00DE31E0">
      <w:pPr>
        <w:pStyle w:val="P68B1DB1-Normal2"/>
        <w:keepLines/>
        <w:spacing w:before="120" w:after="120"/>
        <w:ind w:left="284" w:hanging="284"/>
      </w:pPr>
      <w:r>
        <w:t>3</w:t>
      </w:r>
      <w:r>
        <w:tab/>
        <w:t>Procédure de consultation et de soumission du projet de rapport</w:t>
      </w:r>
    </w:p>
    <w:bookmarkEnd w:id="1"/>
    <w:p w14:paraId="09DE4D10" w14:textId="1256A9B9" w:rsidR="006F3E29" w:rsidRDefault="00DE31E0">
      <w:pPr>
        <w:pStyle w:val="P68B1DB1-Normal3"/>
        <w:keepLines/>
        <w:spacing w:before="120" w:after="120"/>
        <w:jc w:val="both"/>
      </w:pPr>
      <w:r>
        <w:t xml:space="preserve">Le praticien doit soumettre un </w:t>
      </w:r>
      <w:r>
        <w:rPr>
          <w:u w:val="single"/>
        </w:rPr>
        <w:t>projet de</w:t>
      </w:r>
      <w:r>
        <w:t xml:space="preserve"> rapport à la Commission (c’est-à-dire à l’attention de l’ATM) dans les 21 jours civils suivant le jour de la réunion de clôture (c’est-à-dire la fin des travaux d’audit sur le terrain). Le </w:t>
      </w:r>
      <w:r>
        <w:rPr>
          <w:u w:val="single"/>
        </w:rPr>
        <w:t>projet de</w:t>
      </w:r>
      <w:r>
        <w:t xml:space="preserve"> rapport doit inclure les observations de l’entité dans la mesure où celles-ci ont déjà été obtenues lors des travaux de terrain de l’audit et de la réunion de clôture. </w:t>
      </w:r>
    </w:p>
    <w:p w14:paraId="566DEBE1" w14:textId="432DE0EB" w:rsidR="006F3E29" w:rsidRDefault="007520BA">
      <w:pPr>
        <w:pStyle w:val="P68B1DB1-Normal3"/>
        <w:keepLines/>
        <w:spacing w:before="120" w:after="120"/>
        <w:jc w:val="both"/>
      </w:pPr>
      <w:r>
        <w:t xml:space="preserve">La </w:t>
      </w:r>
      <w:r w:rsidR="00DE31E0">
        <w:t xml:space="preserve">version électronique du </w:t>
      </w:r>
      <w:r w:rsidR="00DE31E0">
        <w:rPr>
          <w:u w:val="single"/>
        </w:rPr>
        <w:t>projet de</w:t>
      </w:r>
      <w:r w:rsidR="00DE31E0">
        <w:t xml:space="preserve"> rapport </w:t>
      </w:r>
      <w:r w:rsidR="00C80A28">
        <w:t>doit</w:t>
      </w:r>
      <w:r>
        <w:t xml:space="preserve"> </w:t>
      </w:r>
      <w:r w:rsidR="00DE31E0">
        <w:t>être accompagnée d’une lettre de couverture. La mention</w:t>
      </w:r>
      <w:proofErr w:type="gramStart"/>
      <w:r w:rsidR="00DE31E0">
        <w:t xml:space="preserve"> «projet</w:t>
      </w:r>
      <w:proofErr w:type="gramEnd"/>
      <w:r w:rsidR="00DE31E0">
        <w:t>» doit figurer clairement sur toutes les versions.</w:t>
      </w:r>
    </w:p>
    <w:p w14:paraId="02E551E4" w14:textId="7362B913" w:rsidR="006F3E29" w:rsidRDefault="00DE31E0">
      <w:pPr>
        <w:pStyle w:val="P68B1DB1-Normal3"/>
        <w:keepLines/>
        <w:spacing w:before="120" w:after="120"/>
        <w:jc w:val="both"/>
      </w:pPr>
      <w:r>
        <w:t xml:space="preserve">La Commission devrait présenter des observations sur le projet de rapport au praticien dans un délai de 21 jours civils à compter de la réception du projet de rapport. L’ATM devrait recueillir les observations de la Commission et veiller à ce qu’il soit dûment présenté en temps utile au praticien. </w:t>
      </w:r>
    </w:p>
    <w:p w14:paraId="7BEBE6F2" w14:textId="2D6311ED" w:rsidR="006F3E29" w:rsidRDefault="00DE31E0">
      <w:pPr>
        <w:pStyle w:val="P68B1DB1-Normal3"/>
        <w:keepLines/>
        <w:spacing w:before="120" w:after="120"/>
        <w:jc w:val="both"/>
      </w:pPr>
      <w:r>
        <w:t>La Commission peut demander au praticien de réaliser des travaux d’audit supplémentaires, auquel cas un délai de notification devrait être convenu au cas par cas.</w:t>
      </w:r>
    </w:p>
    <w:p w14:paraId="3D548056" w14:textId="63DE8479" w:rsidR="006F3E29" w:rsidRDefault="00DE31E0">
      <w:pPr>
        <w:pStyle w:val="P68B1DB1-Normal3"/>
        <w:keepLines/>
        <w:spacing w:before="120" w:after="120"/>
        <w:jc w:val="both"/>
      </w:pPr>
      <w:r>
        <w:t xml:space="preserve">Le praticien doit soumettre un </w:t>
      </w:r>
      <w:r>
        <w:rPr>
          <w:u w:val="single"/>
        </w:rPr>
        <w:t>projet</w:t>
      </w:r>
      <w:r>
        <w:t xml:space="preserve"> de rapport tenant compte des observations de la Commission à l’entité (ainsi qu’une copie de ce rapport accompagné d’une lettre d</w:t>
      </w:r>
      <w:r w:rsidR="003961FD">
        <w:t>e couverture</w:t>
      </w:r>
      <w:r>
        <w:t xml:space="preserve"> à l’ATM) dans </w:t>
      </w:r>
      <w:proofErr w:type="gramStart"/>
      <w:r>
        <w:t>un délai de 7 jours civils</w:t>
      </w:r>
      <w:proofErr w:type="gramEnd"/>
      <w:r>
        <w:t xml:space="preserve"> à compter de la réception des observations de la Commission.</w:t>
      </w:r>
    </w:p>
    <w:p w14:paraId="5DDC32C2" w14:textId="1F36673E" w:rsidR="006F3E29" w:rsidRDefault="00DE31E0">
      <w:pPr>
        <w:pStyle w:val="P68B1DB1-Normal3"/>
        <w:keepLines/>
        <w:spacing w:before="120" w:after="120"/>
        <w:jc w:val="both"/>
      </w:pPr>
      <w:r>
        <w:t xml:space="preserve">L’entité doit soumettre ses observations au praticien dans un délai de 21 jours civils à compter de la réception du </w:t>
      </w:r>
      <w:r>
        <w:rPr>
          <w:u w:val="single"/>
        </w:rPr>
        <w:t>projet de</w:t>
      </w:r>
      <w:r>
        <w:t xml:space="preserve"> rapport.</w:t>
      </w:r>
    </w:p>
    <w:p w14:paraId="5C49650B" w14:textId="03EB2694" w:rsidR="006F3E29" w:rsidRDefault="00DE31E0">
      <w:pPr>
        <w:pStyle w:val="P68B1DB1-Normal3"/>
        <w:keepLines/>
        <w:spacing w:before="120" w:after="120"/>
        <w:jc w:val="both"/>
      </w:pPr>
      <w:r>
        <w:lastRenderedPageBreak/>
        <w:t>Si les observations de l’Entité ne sont pas reçues dans ce délai, le praticien rappelle à l’Entité jusqu’à réception d’une réponse écrite de l’Entité. Dans le cas exceptionnel où l’entité ne répond pas ou lorsque l’absence de réponse entraîne des retards excessifs dans le processus de consultation et d’établissement de rapports, le praticien prend contact avec la Commission pour discuter d’une solution. Le praticien doit enregistrer et documenter les causes et les raisons des retards dans la consultation des rapports dont il n’est pas responsable.</w:t>
      </w:r>
    </w:p>
    <w:p w14:paraId="62C386AF" w14:textId="44A2092D" w:rsidR="006F3E29" w:rsidRDefault="00DE31E0">
      <w:pPr>
        <w:pStyle w:val="P68B1DB1-Normal3"/>
        <w:keepLines/>
        <w:spacing w:before="120" w:after="120"/>
        <w:jc w:val="both"/>
      </w:pPr>
      <w:r>
        <w:t xml:space="preserve">La Commission prévoit normalement une réunion avec le praticien après réception du projet de rapport d’audit. Cette réunion aura lieu au siège de la DG INTPA à Bruxelles, dans la délégation de l’UE concernée par l’audit ou dans un autre lieu, selon le lieu le plus approprié et le plus commode pour les deux parties. L’objectif de cette réunion est de discuter du projet de rapport et de toute question connexe nécessitant une attention particulière. La Commission et le praticien peuvent convenir de recourir à d’autres méthodes pour discuter du rapport, </w:t>
      </w:r>
      <w:proofErr w:type="gramStart"/>
      <w:r>
        <w:t>comme par exemple</w:t>
      </w:r>
      <w:proofErr w:type="gramEnd"/>
      <w:r>
        <w:t xml:space="preserve"> les conférences téléphoniques.</w:t>
      </w:r>
    </w:p>
    <w:p w14:paraId="4CDD5C2E" w14:textId="22993788" w:rsidR="006F3E29" w:rsidRDefault="00DE31E0">
      <w:pPr>
        <w:pStyle w:val="P68B1DB1-Normal3"/>
        <w:keepLines/>
        <w:spacing w:before="120" w:after="120"/>
        <w:jc w:val="both"/>
        <w:rPr>
          <w:i/>
        </w:rPr>
      </w:pPr>
      <w:r>
        <w:t xml:space="preserve">Le praticien peut, </w:t>
      </w:r>
      <w:r w:rsidR="00226203">
        <w:t xml:space="preserve">lorsque cela est nécessaire et approprié, </w:t>
      </w:r>
      <w:r>
        <w:t xml:space="preserve">proposer une réunion avec le personnel de la Commission et de la délégation de l’UE pour discuter du </w:t>
      </w:r>
      <w:r>
        <w:rPr>
          <w:u w:val="single"/>
        </w:rPr>
        <w:t>projet</w:t>
      </w:r>
      <w:r>
        <w:t xml:space="preserve"> de rapport et des observations formulées à ce sujet.</w:t>
      </w:r>
    </w:p>
    <w:p w14:paraId="74FC12A5" w14:textId="77777777" w:rsidR="006F3E29" w:rsidRDefault="00DE31E0">
      <w:pPr>
        <w:pStyle w:val="P68B1DB1-Normal2"/>
        <w:keepLines/>
        <w:spacing w:before="240" w:after="120"/>
        <w:ind w:left="284" w:hanging="284"/>
      </w:pPr>
      <w:r>
        <w:t>4</w:t>
      </w:r>
      <w:r>
        <w:tab/>
        <w:t>Procédure de consultation et de soumission du rapport final</w:t>
      </w:r>
    </w:p>
    <w:p w14:paraId="649794AA" w14:textId="152A1D01" w:rsidR="006F3E29" w:rsidRDefault="00DE31E0">
      <w:pPr>
        <w:pStyle w:val="P68B1DB1-Normal3"/>
        <w:keepLines/>
        <w:spacing w:before="120" w:after="120"/>
        <w:jc w:val="both"/>
      </w:pPr>
      <w:r>
        <w:t xml:space="preserve">Si aucun travail d’audit supplémentaire sur le terrain n’est requis, le praticien doit soumettre un rapport </w:t>
      </w:r>
      <w:r>
        <w:rPr>
          <w:u w:val="single"/>
        </w:rPr>
        <w:t>pré</w:t>
      </w:r>
      <w:r w:rsidR="00226203">
        <w:rPr>
          <w:u w:val="single"/>
        </w:rPr>
        <w:t>-</w:t>
      </w:r>
      <w:r>
        <w:rPr>
          <w:u w:val="single"/>
        </w:rPr>
        <w:t>final</w:t>
      </w:r>
      <w:r>
        <w:t xml:space="preserve"> à la Commission (c’est-à-dire à l’attention de l’ATM) dans </w:t>
      </w:r>
      <w:proofErr w:type="gramStart"/>
      <w:r>
        <w:t>un délai de 7 jours civils</w:t>
      </w:r>
      <w:proofErr w:type="gramEnd"/>
      <w:r>
        <w:t xml:space="preserve"> à compter de la réception des observations de l’entité sur le projet de rapport. Le mot</w:t>
      </w:r>
      <w:proofErr w:type="gramStart"/>
      <w:r>
        <w:t xml:space="preserve"> «pré</w:t>
      </w:r>
      <w:proofErr w:type="gramEnd"/>
      <w:r w:rsidR="00226203">
        <w:t>-</w:t>
      </w:r>
      <w:r>
        <w:t xml:space="preserve">final» doit être clairement indiqué sur la page de couverture du rapport </w:t>
      </w:r>
      <w:r>
        <w:rPr>
          <w:u w:val="single"/>
        </w:rPr>
        <w:t>pré</w:t>
      </w:r>
      <w:r w:rsidR="00226203">
        <w:rPr>
          <w:u w:val="single"/>
        </w:rPr>
        <w:t>-</w:t>
      </w:r>
      <w:r>
        <w:rPr>
          <w:u w:val="single"/>
        </w:rPr>
        <w:t>final</w:t>
      </w:r>
      <w:r>
        <w:t>.</w:t>
      </w:r>
    </w:p>
    <w:p w14:paraId="605D07BC" w14:textId="2F372766" w:rsidR="006F3E29" w:rsidRDefault="00DE31E0">
      <w:pPr>
        <w:pStyle w:val="P68B1DB1-Normal3"/>
        <w:keepLines/>
        <w:spacing w:before="120" w:after="120"/>
        <w:jc w:val="both"/>
      </w:pPr>
      <w:r>
        <w:t>La Commission doit indiquer par écrit au praticien si elle accepte le rapport pré</w:t>
      </w:r>
      <w:r w:rsidR="00226203">
        <w:t>-</w:t>
      </w:r>
      <w:r>
        <w:t xml:space="preserve">final dans </w:t>
      </w:r>
      <w:proofErr w:type="gramStart"/>
      <w:r>
        <w:t>un délai de 14 jours civils</w:t>
      </w:r>
      <w:proofErr w:type="gramEnd"/>
      <w:r>
        <w:t xml:space="preserve"> à compter de la réception du rapport pré</w:t>
      </w:r>
      <w:r w:rsidR="00226203">
        <w:t>-</w:t>
      </w:r>
      <w:r>
        <w:t xml:space="preserve">final. </w:t>
      </w:r>
    </w:p>
    <w:p w14:paraId="6FD60F3E" w14:textId="71EF4DBE" w:rsidR="006F3E29" w:rsidRDefault="00DE31E0">
      <w:pPr>
        <w:pStyle w:val="P68B1DB1-Normal3"/>
        <w:keepLines/>
        <w:spacing w:before="120" w:after="120"/>
        <w:jc w:val="both"/>
      </w:pPr>
      <w:r>
        <w:t xml:space="preserve">Le praticien doit présenter un rapport final dans un délai de 7 jours civils à compter de la réception des observations de la Commission sur le rapport </w:t>
      </w:r>
      <w:r>
        <w:rPr>
          <w:u w:val="single"/>
        </w:rPr>
        <w:t>pré</w:t>
      </w:r>
      <w:r w:rsidR="00226203">
        <w:rPr>
          <w:u w:val="single"/>
        </w:rPr>
        <w:t>-</w:t>
      </w:r>
      <w:r>
        <w:rPr>
          <w:u w:val="single"/>
        </w:rPr>
        <w:t>final</w:t>
      </w:r>
      <w:r>
        <w:t>.</w:t>
      </w:r>
    </w:p>
    <w:p w14:paraId="4BD0BE43" w14:textId="221FEA7B" w:rsidR="006F3E29" w:rsidRDefault="00DE31E0">
      <w:pPr>
        <w:pStyle w:val="P68B1DB1-Normal3"/>
        <w:spacing w:after="120"/>
        <w:jc w:val="both"/>
      </w:pPr>
      <w:r>
        <w:t>Lors de la soumission du rapport final, le praticien doit documenter et expliquer tout retard dans le calendrier de présentation des rapports, comme prévu au point 6.3.1 du cahier des charges.</w:t>
      </w:r>
    </w:p>
    <w:p w14:paraId="754BD5CD" w14:textId="35C5F807" w:rsidR="006F3E29" w:rsidRDefault="00DE31E0">
      <w:pPr>
        <w:pStyle w:val="P68B1DB1-Normal3"/>
        <w:keepLines/>
        <w:spacing w:before="120" w:after="120"/>
        <w:jc w:val="both"/>
      </w:pPr>
      <w:r>
        <w:t>Le praticien doit ensuite soumettre à la Commission la version électronique du rapport final, accompagnée d’une note de</w:t>
      </w:r>
      <w:r w:rsidR="00226203">
        <w:t xml:space="preserve"> couverture</w:t>
      </w:r>
      <w:r>
        <w:t>.</w:t>
      </w:r>
      <w:r w:rsidR="00226203">
        <w:t xml:space="preserve"> </w:t>
      </w:r>
      <w:r w:rsidRPr="00C80A28">
        <w:t>Les rapports doivent être fournis en-tête original du praticien</w:t>
      </w:r>
      <w:r>
        <w:t>. Le mot</w:t>
      </w:r>
      <w:proofErr w:type="gramStart"/>
      <w:r>
        <w:t xml:space="preserve"> «final</w:t>
      </w:r>
      <w:proofErr w:type="gramEnd"/>
      <w:r>
        <w:t xml:space="preserve">» doit être clairement indiqué. Le praticien doit également envoyer une version électronique du rapport final, c’est-à-dire une copie </w:t>
      </w:r>
      <w:r>
        <w:rPr>
          <w:u w:val="single"/>
        </w:rPr>
        <w:t>scannée</w:t>
      </w:r>
      <w:r>
        <w:t xml:space="preserve"> (au format PDF) du </w:t>
      </w:r>
      <w:r>
        <w:rPr>
          <w:u w:val="single"/>
        </w:rPr>
        <w:t>rapport final signé et daté</w:t>
      </w:r>
      <w:r>
        <w:t xml:space="preserve"> avec </w:t>
      </w:r>
      <w:r>
        <w:rPr>
          <w:u w:val="single"/>
        </w:rPr>
        <w:t>le papier à en-tête</w:t>
      </w:r>
      <w:r>
        <w:t xml:space="preserve"> du praticien à l’ATM. À la suite de l’approbation du pouvoir adjudicateur, le praticien notifie le rapport final à l’entité déclarante. Le pouvoir adjudicateur sera en copie de cette notification.</w:t>
      </w:r>
    </w:p>
    <w:p w14:paraId="6750D5E0" w14:textId="77777777" w:rsidR="006F3E29" w:rsidRDefault="00DE31E0">
      <w:pPr>
        <w:pStyle w:val="P68B1DB1-Normal3"/>
        <w:keepLines/>
        <w:spacing w:before="120" w:after="120"/>
        <w:jc w:val="both"/>
      </w:pPr>
      <w:r>
        <w:t xml:space="preserve">L’ATM assurera la présentation du rapport d’audit </w:t>
      </w:r>
      <w:r>
        <w:rPr>
          <w:u w:val="single"/>
        </w:rPr>
        <w:t>final</w:t>
      </w:r>
      <w:r>
        <w:t xml:space="preserve"> aux services de la Commission concernés.</w:t>
      </w:r>
    </w:p>
    <w:p w14:paraId="78FAF4DC" w14:textId="77777777" w:rsidR="006F3E29" w:rsidRDefault="00DE31E0">
      <w:pPr>
        <w:pStyle w:val="P68B1DB1-Normal3"/>
        <w:keepLines/>
        <w:spacing w:before="120" w:after="120"/>
        <w:jc w:val="both"/>
      </w:pPr>
      <w:r>
        <w:t>Le délai entre la réunion de clôture de l’audit et la présentation à la Commission du rapport d’audit final ne doit pas dépasser 98 jours civils ou 14 semaines.</w:t>
      </w:r>
    </w:p>
    <w:p w14:paraId="62104C80" w14:textId="77777777" w:rsidR="006F3E29" w:rsidRDefault="006F3E29">
      <w:pPr>
        <w:keepLines/>
        <w:spacing w:before="120" w:after="120"/>
        <w:jc w:val="both"/>
      </w:pPr>
    </w:p>
    <w:sectPr w:rsidR="006F3E29">
      <w:headerReference w:type="even" r:id="rId10"/>
      <w:headerReference w:type="default" r:id="rId11"/>
      <w:footerReference w:type="even" r:id="rId12"/>
      <w:footerReference w:type="default" r:id="rId13"/>
      <w:headerReference w:type="first" r:id="rId14"/>
      <w:footerReference w:type="first" r:id="rId15"/>
      <w:pgSz w:w="11906" w:h="16838" w:code="9"/>
      <w:pgMar w:top="1440" w:right="1797" w:bottom="1440" w:left="1797"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0833F5" w14:textId="77777777" w:rsidR="006F3E29" w:rsidRDefault="00DE31E0">
      <w:r>
        <w:separator/>
      </w:r>
    </w:p>
  </w:endnote>
  <w:endnote w:type="continuationSeparator" w:id="0">
    <w:p w14:paraId="5E7A6D14" w14:textId="77777777" w:rsidR="006F3E29" w:rsidRDefault="00DE31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F5EBEE" w14:textId="77777777" w:rsidR="006F3E29" w:rsidRDefault="006F3E2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F4D5D3" w14:textId="77777777" w:rsidR="006F3E29" w:rsidRDefault="00DE31E0">
    <w:pPr>
      <w:pStyle w:val="Footer"/>
      <w:framePr w:wrap="around" w:vAnchor="text" w:hAnchor="margin" w:xAlign="center" w:y="1"/>
      <w:rPr>
        <w:rStyle w:val="PageNumber"/>
        <w:sz w:val="22"/>
      </w:rPr>
    </w:pPr>
    <w:r>
      <w:rPr>
        <w:rStyle w:val="PageNumber"/>
        <w:sz w:val="22"/>
      </w:rPr>
      <w:fldChar w:fldCharType="begin"/>
    </w:r>
    <w:r>
      <w:rPr>
        <w:rStyle w:val="PageNumber"/>
        <w:sz w:val="22"/>
      </w:rPr>
      <w:instrText xml:space="preserve">PAGE  </w:instrText>
    </w:r>
    <w:r>
      <w:rPr>
        <w:rStyle w:val="PageNumber"/>
        <w:sz w:val="22"/>
      </w:rPr>
      <w:fldChar w:fldCharType="separate"/>
    </w:r>
    <w:r>
      <w:rPr>
        <w:rStyle w:val="PageNumber"/>
        <w:sz w:val="22"/>
      </w:rPr>
      <w:t>2</w:t>
    </w:r>
    <w:r>
      <w:rPr>
        <w:rStyle w:val="PageNumber"/>
        <w:sz w:val="22"/>
      </w:rPr>
      <w:fldChar w:fldCharType="end"/>
    </w:r>
  </w:p>
  <w:p w14:paraId="63DFD6E4" w14:textId="16A7E1E2" w:rsidR="006F3E29" w:rsidRDefault="00DE31E0">
    <w:pPr>
      <w:pStyle w:val="P68B1DB1-Footer11"/>
    </w:pPr>
    <w:r>
      <w:t xml:space="preserve">Version </w:t>
    </w:r>
    <w:r w:rsidR="00EA59E8">
      <w:t xml:space="preserve">janvier </w:t>
    </w:r>
    <w:r>
      <w:t>202</w:t>
    </w:r>
    <w:r w:rsidR="00EA59E8">
      <w:t>5</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9C2C43" w14:textId="77777777" w:rsidR="006F3E29" w:rsidRDefault="006F3E2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EAECA7" w14:textId="77777777" w:rsidR="006F3E29" w:rsidRDefault="00DE31E0">
      <w:r>
        <w:separator/>
      </w:r>
    </w:p>
  </w:footnote>
  <w:footnote w:type="continuationSeparator" w:id="0">
    <w:p w14:paraId="3804B196" w14:textId="77777777" w:rsidR="006F3E29" w:rsidRDefault="00DE31E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34C87C" w14:textId="77777777" w:rsidR="006F3E29" w:rsidRDefault="006F3E2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C6B6D3" w14:textId="10103259" w:rsidR="006F3E29" w:rsidRDefault="00DE31E0">
    <w:pPr>
      <w:pStyle w:val="P68B1DB1-Header10"/>
      <w:jc w:val="right"/>
    </w:pPr>
    <w:r>
      <w:t>Annexe 2 du cahier des charges relatif à un audit des systèmes — procédures d’audit</w:t>
    </w:r>
  </w:p>
  <w:p w14:paraId="3405A4DD" w14:textId="77777777" w:rsidR="006F3E29" w:rsidRDefault="00DE31E0">
    <w:pPr>
      <w:pStyle w:val="P68B1DB1-Header10"/>
      <w:jc w:val="right"/>
    </w:pPr>
    <w:r>
      <w:t>Conception et efficacité opérationnelle du système de contrôle interne</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3A60CD" w14:textId="77777777" w:rsidR="006F3E29" w:rsidRDefault="006F3E2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A843A8"/>
    <w:multiLevelType w:val="hybridMultilevel"/>
    <w:tmpl w:val="82A096E8"/>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2702CFD"/>
    <w:multiLevelType w:val="hybridMultilevel"/>
    <w:tmpl w:val="530C898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31437C6"/>
    <w:multiLevelType w:val="hybridMultilevel"/>
    <w:tmpl w:val="C9D8F73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5CF177E"/>
    <w:multiLevelType w:val="hybridMultilevel"/>
    <w:tmpl w:val="C9C2D63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6C85BCA"/>
    <w:multiLevelType w:val="hybridMultilevel"/>
    <w:tmpl w:val="DBC6C30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CBB155C"/>
    <w:multiLevelType w:val="hybridMultilevel"/>
    <w:tmpl w:val="1EACF29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0D175845"/>
    <w:multiLevelType w:val="hybridMultilevel"/>
    <w:tmpl w:val="D7C4FEC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0E4106B0"/>
    <w:multiLevelType w:val="hybridMultilevel"/>
    <w:tmpl w:val="5DA4B14C"/>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0FFE3728"/>
    <w:multiLevelType w:val="hybridMultilevel"/>
    <w:tmpl w:val="905A58C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36072E8"/>
    <w:multiLevelType w:val="hybridMultilevel"/>
    <w:tmpl w:val="0D7A685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F734306"/>
    <w:multiLevelType w:val="multilevel"/>
    <w:tmpl w:val="04090025"/>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1" w15:restartNumberingAfterBreak="0">
    <w:nsid w:val="22C63C42"/>
    <w:multiLevelType w:val="hybridMultilevel"/>
    <w:tmpl w:val="E8CEE34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3965DEC"/>
    <w:multiLevelType w:val="hybridMultilevel"/>
    <w:tmpl w:val="EAB6071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9991958"/>
    <w:multiLevelType w:val="hybridMultilevel"/>
    <w:tmpl w:val="DDF6AD2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B953520"/>
    <w:multiLevelType w:val="hybridMultilevel"/>
    <w:tmpl w:val="9F46BAE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E566607"/>
    <w:multiLevelType w:val="hybridMultilevel"/>
    <w:tmpl w:val="EC6A614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ECB6CD7"/>
    <w:multiLevelType w:val="hybridMultilevel"/>
    <w:tmpl w:val="850C8FB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1733DF0"/>
    <w:multiLevelType w:val="hybridMultilevel"/>
    <w:tmpl w:val="DAD471D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1B70308"/>
    <w:multiLevelType w:val="hybridMultilevel"/>
    <w:tmpl w:val="F49E0662"/>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23F5026"/>
    <w:multiLevelType w:val="hybridMultilevel"/>
    <w:tmpl w:val="34EA4AC6"/>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F7C461E"/>
    <w:multiLevelType w:val="hybridMultilevel"/>
    <w:tmpl w:val="7CFA009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76D6465"/>
    <w:multiLevelType w:val="hybridMultilevel"/>
    <w:tmpl w:val="C5E6B83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FFF3D6D"/>
    <w:multiLevelType w:val="hybridMultilevel"/>
    <w:tmpl w:val="6F6CF5F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4BA3D57"/>
    <w:multiLevelType w:val="hybridMultilevel"/>
    <w:tmpl w:val="C82E4136"/>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4" w15:restartNumberingAfterBreak="0">
    <w:nsid w:val="59BB2109"/>
    <w:multiLevelType w:val="hybridMultilevel"/>
    <w:tmpl w:val="2E082FEC"/>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A6B7912"/>
    <w:multiLevelType w:val="hybridMultilevel"/>
    <w:tmpl w:val="FB5A641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BA345EF"/>
    <w:multiLevelType w:val="hybridMultilevel"/>
    <w:tmpl w:val="90B85E5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8346890"/>
    <w:multiLevelType w:val="hybridMultilevel"/>
    <w:tmpl w:val="268C4C8C"/>
    <w:lvl w:ilvl="0" w:tplc="48F2CDB4">
      <w:numFmt w:val="bullet"/>
      <w:lvlText w:val="-"/>
      <w:lvlJc w:val="left"/>
      <w:pPr>
        <w:tabs>
          <w:tab w:val="num" w:pos="720"/>
        </w:tabs>
        <w:ind w:left="720" w:hanging="360"/>
      </w:pPr>
      <w:rPr>
        <w:rFonts w:ascii="Times New Roman" w:eastAsia="Times New Roman" w:hAnsi="Times New Roman"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714A0287"/>
    <w:multiLevelType w:val="hybridMultilevel"/>
    <w:tmpl w:val="559CD0F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783C79E2"/>
    <w:multiLevelType w:val="hybridMultilevel"/>
    <w:tmpl w:val="E2D46AC6"/>
    <w:lvl w:ilvl="0" w:tplc="D42C1B26">
      <w:numFmt w:val="bullet"/>
      <w:lvlText w:val="-"/>
      <w:lvlJc w:val="left"/>
      <w:pPr>
        <w:tabs>
          <w:tab w:val="num" w:pos="720"/>
        </w:tabs>
        <w:ind w:left="720" w:hanging="360"/>
      </w:pPr>
      <w:rPr>
        <w:rFonts w:ascii="Times New Roman" w:eastAsia="Times New Roman" w:hAnsi="Times New Roman"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7E374F95"/>
    <w:multiLevelType w:val="hybridMultilevel"/>
    <w:tmpl w:val="2FE6D6DA"/>
    <w:lvl w:ilvl="0" w:tplc="D6D4029A">
      <w:numFmt w:val="bullet"/>
      <w:lvlText w:val="-"/>
      <w:lvlJc w:val="left"/>
      <w:pPr>
        <w:tabs>
          <w:tab w:val="num" w:pos="720"/>
        </w:tabs>
        <w:ind w:left="720" w:hanging="360"/>
      </w:pPr>
      <w:rPr>
        <w:rFonts w:ascii="Times New Roman" w:eastAsia="Times New Roman" w:hAnsi="Times New Roman" w:cs="Times New Roman" w:hint="default"/>
        <w:color w:val="auto"/>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16cid:durableId="1444812825">
    <w:abstractNumId w:val="10"/>
  </w:num>
  <w:num w:numId="2" w16cid:durableId="468018823">
    <w:abstractNumId w:val="12"/>
  </w:num>
  <w:num w:numId="3" w16cid:durableId="354309120">
    <w:abstractNumId w:val="21"/>
  </w:num>
  <w:num w:numId="4" w16cid:durableId="1080521448">
    <w:abstractNumId w:val="25"/>
  </w:num>
  <w:num w:numId="5" w16cid:durableId="125632676">
    <w:abstractNumId w:val="8"/>
  </w:num>
  <w:num w:numId="6" w16cid:durableId="974143753">
    <w:abstractNumId w:val="24"/>
  </w:num>
  <w:num w:numId="7" w16cid:durableId="1044911660">
    <w:abstractNumId w:val="13"/>
  </w:num>
  <w:num w:numId="8" w16cid:durableId="1288391113">
    <w:abstractNumId w:val="18"/>
  </w:num>
  <w:num w:numId="9" w16cid:durableId="1660426055">
    <w:abstractNumId w:val="0"/>
  </w:num>
  <w:num w:numId="10" w16cid:durableId="1038775350">
    <w:abstractNumId w:val="7"/>
  </w:num>
  <w:num w:numId="11" w16cid:durableId="510295629">
    <w:abstractNumId w:val="19"/>
  </w:num>
  <w:num w:numId="12" w16cid:durableId="487213074">
    <w:abstractNumId w:val="29"/>
  </w:num>
  <w:num w:numId="13" w16cid:durableId="280184715">
    <w:abstractNumId w:val="1"/>
  </w:num>
  <w:num w:numId="14" w16cid:durableId="1564292820">
    <w:abstractNumId w:val="5"/>
  </w:num>
  <w:num w:numId="15" w16cid:durableId="499127876">
    <w:abstractNumId w:val="2"/>
  </w:num>
  <w:num w:numId="16" w16cid:durableId="1680962477">
    <w:abstractNumId w:val="11"/>
  </w:num>
  <w:num w:numId="17" w16cid:durableId="99573021">
    <w:abstractNumId w:val="9"/>
  </w:num>
  <w:num w:numId="18" w16cid:durableId="1492670428">
    <w:abstractNumId w:val="27"/>
  </w:num>
  <w:num w:numId="19" w16cid:durableId="1385107893">
    <w:abstractNumId w:val="20"/>
  </w:num>
  <w:num w:numId="20" w16cid:durableId="2059670395">
    <w:abstractNumId w:val="26"/>
  </w:num>
  <w:num w:numId="21" w16cid:durableId="99179259">
    <w:abstractNumId w:val="14"/>
  </w:num>
  <w:num w:numId="22" w16cid:durableId="631908408">
    <w:abstractNumId w:val="28"/>
  </w:num>
  <w:num w:numId="23" w16cid:durableId="942540727">
    <w:abstractNumId w:val="22"/>
  </w:num>
  <w:num w:numId="24" w16cid:durableId="793447647">
    <w:abstractNumId w:val="15"/>
  </w:num>
  <w:num w:numId="25" w16cid:durableId="2030521726">
    <w:abstractNumId w:val="17"/>
  </w:num>
  <w:num w:numId="26" w16cid:durableId="496195865">
    <w:abstractNumId w:val="4"/>
  </w:num>
  <w:num w:numId="27" w16cid:durableId="1647200063">
    <w:abstractNumId w:val="3"/>
  </w:num>
  <w:num w:numId="28" w16cid:durableId="282613913">
    <w:abstractNumId w:val="30"/>
  </w:num>
  <w:num w:numId="29" w16cid:durableId="512495874">
    <w:abstractNumId w:val="6"/>
  </w:num>
  <w:num w:numId="30" w16cid:durableId="825779122">
    <w:abstractNumId w:val="16"/>
  </w:num>
  <w:num w:numId="31" w16cid:durableId="1755277390">
    <w:abstractNumId w:val="23"/>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NORMAL"/>
  </w:docVars>
  <w:rsids>
    <w:rsidRoot w:val="008078EC"/>
    <w:rsid w:val="00001615"/>
    <w:rsid w:val="000021C1"/>
    <w:rsid w:val="00002DB2"/>
    <w:rsid w:val="00004F9A"/>
    <w:rsid w:val="00012378"/>
    <w:rsid w:val="000125D0"/>
    <w:rsid w:val="00012837"/>
    <w:rsid w:val="00016FE5"/>
    <w:rsid w:val="00017985"/>
    <w:rsid w:val="00020BDE"/>
    <w:rsid w:val="0002183C"/>
    <w:rsid w:val="000301E2"/>
    <w:rsid w:val="000323E7"/>
    <w:rsid w:val="00033574"/>
    <w:rsid w:val="00033A64"/>
    <w:rsid w:val="00033B26"/>
    <w:rsid w:val="0003416C"/>
    <w:rsid w:val="000359A4"/>
    <w:rsid w:val="00036430"/>
    <w:rsid w:val="00042622"/>
    <w:rsid w:val="00043927"/>
    <w:rsid w:val="00043AA1"/>
    <w:rsid w:val="00044490"/>
    <w:rsid w:val="00044B03"/>
    <w:rsid w:val="00045DE3"/>
    <w:rsid w:val="000508D9"/>
    <w:rsid w:val="00050CD7"/>
    <w:rsid w:val="000527BE"/>
    <w:rsid w:val="0005481B"/>
    <w:rsid w:val="00054F5C"/>
    <w:rsid w:val="00056FE8"/>
    <w:rsid w:val="00060F9A"/>
    <w:rsid w:val="000621E7"/>
    <w:rsid w:val="00063BBD"/>
    <w:rsid w:val="00064104"/>
    <w:rsid w:val="00064AFB"/>
    <w:rsid w:val="000666C7"/>
    <w:rsid w:val="00067327"/>
    <w:rsid w:val="00067EDC"/>
    <w:rsid w:val="00070FFC"/>
    <w:rsid w:val="000714C6"/>
    <w:rsid w:val="0007260E"/>
    <w:rsid w:val="00072FC7"/>
    <w:rsid w:val="00073283"/>
    <w:rsid w:val="0007479F"/>
    <w:rsid w:val="000758D4"/>
    <w:rsid w:val="00075F9A"/>
    <w:rsid w:val="00076155"/>
    <w:rsid w:val="00084AEC"/>
    <w:rsid w:val="00085037"/>
    <w:rsid w:val="00085549"/>
    <w:rsid w:val="0008574B"/>
    <w:rsid w:val="000861DF"/>
    <w:rsid w:val="00090618"/>
    <w:rsid w:val="00090BCC"/>
    <w:rsid w:val="00091781"/>
    <w:rsid w:val="00092521"/>
    <w:rsid w:val="00092A1E"/>
    <w:rsid w:val="00093E16"/>
    <w:rsid w:val="00094169"/>
    <w:rsid w:val="00094B98"/>
    <w:rsid w:val="00094F6F"/>
    <w:rsid w:val="0009795E"/>
    <w:rsid w:val="00097989"/>
    <w:rsid w:val="000A536D"/>
    <w:rsid w:val="000A6604"/>
    <w:rsid w:val="000A679E"/>
    <w:rsid w:val="000A68F8"/>
    <w:rsid w:val="000A6BCD"/>
    <w:rsid w:val="000B1C35"/>
    <w:rsid w:val="000B27DE"/>
    <w:rsid w:val="000B4236"/>
    <w:rsid w:val="000B455B"/>
    <w:rsid w:val="000B4C57"/>
    <w:rsid w:val="000B579A"/>
    <w:rsid w:val="000B5B79"/>
    <w:rsid w:val="000B5F02"/>
    <w:rsid w:val="000C0F1B"/>
    <w:rsid w:val="000C554D"/>
    <w:rsid w:val="000C65FA"/>
    <w:rsid w:val="000C6E21"/>
    <w:rsid w:val="000D146F"/>
    <w:rsid w:val="000D25DD"/>
    <w:rsid w:val="000D26D6"/>
    <w:rsid w:val="000D3175"/>
    <w:rsid w:val="000D3BA1"/>
    <w:rsid w:val="000D5255"/>
    <w:rsid w:val="000D6710"/>
    <w:rsid w:val="000D7E6F"/>
    <w:rsid w:val="000E0B95"/>
    <w:rsid w:val="000E0C86"/>
    <w:rsid w:val="000E1314"/>
    <w:rsid w:val="000E2215"/>
    <w:rsid w:val="000E4A07"/>
    <w:rsid w:val="000E4B05"/>
    <w:rsid w:val="000E65F2"/>
    <w:rsid w:val="000E6C47"/>
    <w:rsid w:val="000E75C9"/>
    <w:rsid w:val="000E7B88"/>
    <w:rsid w:val="000E7CA8"/>
    <w:rsid w:val="000E7CCD"/>
    <w:rsid w:val="000E7FDF"/>
    <w:rsid w:val="000F33E0"/>
    <w:rsid w:val="000F359D"/>
    <w:rsid w:val="000F3E33"/>
    <w:rsid w:val="000F4C44"/>
    <w:rsid w:val="000F546D"/>
    <w:rsid w:val="000F59B0"/>
    <w:rsid w:val="000F681F"/>
    <w:rsid w:val="000F6A9E"/>
    <w:rsid w:val="00100A5B"/>
    <w:rsid w:val="00100C66"/>
    <w:rsid w:val="00100E5C"/>
    <w:rsid w:val="00101DD1"/>
    <w:rsid w:val="001046C4"/>
    <w:rsid w:val="00104DF9"/>
    <w:rsid w:val="0010640C"/>
    <w:rsid w:val="0011049B"/>
    <w:rsid w:val="001138A2"/>
    <w:rsid w:val="00115FC9"/>
    <w:rsid w:val="001171FB"/>
    <w:rsid w:val="001173B9"/>
    <w:rsid w:val="00121B4F"/>
    <w:rsid w:val="001248EE"/>
    <w:rsid w:val="0013174D"/>
    <w:rsid w:val="00131C3B"/>
    <w:rsid w:val="0013312E"/>
    <w:rsid w:val="00134894"/>
    <w:rsid w:val="00134CBB"/>
    <w:rsid w:val="00135245"/>
    <w:rsid w:val="00136C3F"/>
    <w:rsid w:val="00136CCD"/>
    <w:rsid w:val="001425A1"/>
    <w:rsid w:val="00142ACA"/>
    <w:rsid w:val="001446CD"/>
    <w:rsid w:val="0014496A"/>
    <w:rsid w:val="00145670"/>
    <w:rsid w:val="001458A3"/>
    <w:rsid w:val="001464DB"/>
    <w:rsid w:val="00146676"/>
    <w:rsid w:val="00146989"/>
    <w:rsid w:val="001476C8"/>
    <w:rsid w:val="00147A01"/>
    <w:rsid w:val="00147D6D"/>
    <w:rsid w:val="00150918"/>
    <w:rsid w:val="00151B7F"/>
    <w:rsid w:val="0015241A"/>
    <w:rsid w:val="0015332D"/>
    <w:rsid w:val="00153B72"/>
    <w:rsid w:val="00154D67"/>
    <w:rsid w:val="001626FB"/>
    <w:rsid w:val="001667A8"/>
    <w:rsid w:val="00167581"/>
    <w:rsid w:val="00167B7D"/>
    <w:rsid w:val="00170261"/>
    <w:rsid w:val="00171FC5"/>
    <w:rsid w:val="00171FDF"/>
    <w:rsid w:val="001738A2"/>
    <w:rsid w:val="00173F2C"/>
    <w:rsid w:val="001748E0"/>
    <w:rsid w:val="00175D48"/>
    <w:rsid w:val="00176099"/>
    <w:rsid w:val="001778A8"/>
    <w:rsid w:val="00177EE9"/>
    <w:rsid w:val="00184FE7"/>
    <w:rsid w:val="0018520E"/>
    <w:rsid w:val="001859DF"/>
    <w:rsid w:val="00186C86"/>
    <w:rsid w:val="001872A8"/>
    <w:rsid w:val="00190005"/>
    <w:rsid w:val="001908AF"/>
    <w:rsid w:val="00190C36"/>
    <w:rsid w:val="00191BA8"/>
    <w:rsid w:val="00191BB4"/>
    <w:rsid w:val="001923C1"/>
    <w:rsid w:val="00194FCB"/>
    <w:rsid w:val="00195457"/>
    <w:rsid w:val="0019555B"/>
    <w:rsid w:val="00196261"/>
    <w:rsid w:val="001967ED"/>
    <w:rsid w:val="001A0CBC"/>
    <w:rsid w:val="001A28D7"/>
    <w:rsid w:val="001A30D5"/>
    <w:rsid w:val="001A42B9"/>
    <w:rsid w:val="001A51D2"/>
    <w:rsid w:val="001A5B02"/>
    <w:rsid w:val="001A7047"/>
    <w:rsid w:val="001A715E"/>
    <w:rsid w:val="001B1442"/>
    <w:rsid w:val="001B2A5B"/>
    <w:rsid w:val="001B547C"/>
    <w:rsid w:val="001B6372"/>
    <w:rsid w:val="001B7E13"/>
    <w:rsid w:val="001C0797"/>
    <w:rsid w:val="001C10CA"/>
    <w:rsid w:val="001C1634"/>
    <w:rsid w:val="001C1B51"/>
    <w:rsid w:val="001C3A77"/>
    <w:rsid w:val="001C3B78"/>
    <w:rsid w:val="001C4804"/>
    <w:rsid w:val="001C59CB"/>
    <w:rsid w:val="001D11C6"/>
    <w:rsid w:val="001D1263"/>
    <w:rsid w:val="001D606E"/>
    <w:rsid w:val="001D763B"/>
    <w:rsid w:val="001D7730"/>
    <w:rsid w:val="001E0A7B"/>
    <w:rsid w:val="001E0F18"/>
    <w:rsid w:val="001E0F45"/>
    <w:rsid w:val="001E115E"/>
    <w:rsid w:val="001E128A"/>
    <w:rsid w:val="001E19D7"/>
    <w:rsid w:val="001E27D5"/>
    <w:rsid w:val="001E3760"/>
    <w:rsid w:val="001E3CF3"/>
    <w:rsid w:val="001E4C44"/>
    <w:rsid w:val="001E4C75"/>
    <w:rsid w:val="001E5362"/>
    <w:rsid w:val="001E55D5"/>
    <w:rsid w:val="001E6E7A"/>
    <w:rsid w:val="001E6F0C"/>
    <w:rsid w:val="001E7598"/>
    <w:rsid w:val="001F10F3"/>
    <w:rsid w:val="001F13EF"/>
    <w:rsid w:val="001F338E"/>
    <w:rsid w:val="001F492D"/>
    <w:rsid w:val="001F7C83"/>
    <w:rsid w:val="00200419"/>
    <w:rsid w:val="002020BF"/>
    <w:rsid w:val="00202739"/>
    <w:rsid w:val="0020287E"/>
    <w:rsid w:val="00202CCA"/>
    <w:rsid w:val="00202DDD"/>
    <w:rsid w:val="00203826"/>
    <w:rsid w:val="00204AD9"/>
    <w:rsid w:val="002052C9"/>
    <w:rsid w:val="00205906"/>
    <w:rsid w:val="00206C05"/>
    <w:rsid w:val="00212A91"/>
    <w:rsid w:val="00213DF6"/>
    <w:rsid w:val="002150FF"/>
    <w:rsid w:val="0021520C"/>
    <w:rsid w:val="00216146"/>
    <w:rsid w:val="00216165"/>
    <w:rsid w:val="00217B54"/>
    <w:rsid w:val="00217E7A"/>
    <w:rsid w:val="00220010"/>
    <w:rsid w:val="002207A6"/>
    <w:rsid w:val="002221D6"/>
    <w:rsid w:val="00222698"/>
    <w:rsid w:val="00222D21"/>
    <w:rsid w:val="00223D31"/>
    <w:rsid w:val="002257DA"/>
    <w:rsid w:val="00226203"/>
    <w:rsid w:val="00232140"/>
    <w:rsid w:val="00232E0B"/>
    <w:rsid w:val="00235B5B"/>
    <w:rsid w:val="00236143"/>
    <w:rsid w:val="0023664B"/>
    <w:rsid w:val="002400DB"/>
    <w:rsid w:val="002408B4"/>
    <w:rsid w:val="002419E5"/>
    <w:rsid w:val="00242FF9"/>
    <w:rsid w:val="002434E7"/>
    <w:rsid w:val="002453F0"/>
    <w:rsid w:val="00245718"/>
    <w:rsid w:val="00246223"/>
    <w:rsid w:val="00247710"/>
    <w:rsid w:val="00251029"/>
    <w:rsid w:val="00251881"/>
    <w:rsid w:val="00252D5D"/>
    <w:rsid w:val="00253C9E"/>
    <w:rsid w:val="00253CC3"/>
    <w:rsid w:val="00253CEC"/>
    <w:rsid w:val="00254E24"/>
    <w:rsid w:val="00257BB9"/>
    <w:rsid w:val="00261234"/>
    <w:rsid w:val="00262E1D"/>
    <w:rsid w:val="002637DE"/>
    <w:rsid w:val="00263A94"/>
    <w:rsid w:val="002655AA"/>
    <w:rsid w:val="00266F98"/>
    <w:rsid w:val="002671E2"/>
    <w:rsid w:val="00267FF8"/>
    <w:rsid w:val="002719D6"/>
    <w:rsid w:val="00271BC6"/>
    <w:rsid w:val="00271C55"/>
    <w:rsid w:val="0027302B"/>
    <w:rsid w:val="00273598"/>
    <w:rsid w:val="0027492A"/>
    <w:rsid w:val="002751F5"/>
    <w:rsid w:val="00276998"/>
    <w:rsid w:val="002827B8"/>
    <w:rsid w:val="00282845"/>
    <w:rsid w:val="0028574C"/>
    <w:rsid w:val="00285E32"/>
    <w:rsid w:val="0028665B"/>
    <w:rsid w:val="00286E48"/>
    <w:rsid w:val="00287BF6"/>
    <w:rsid w:val="00290740"/>
    <w:rsid w:val="00291122"/>
    <w:rsid w:val="002918F5"/>
    <w:rsid w:val="00291FC6"/>
    <w:rsid w:val="00292544"/>
    <w:rsid w:val="00293066"/>
    <w:rsid w:val="0029340B"/>
    <w:rsid w:val="00294E83"/>
    <w:rsid w:val="00295062"/>
    <w:rsid w:val="00295B18"/>
    <w:rsid w:val="0029697E"/>
    <w:rsid w:val="0029721C"/>
    <w:rsid w:val="002A02A8"/>
    <w:rsid w:val="002A0C43"/>
    <w:rsid w:val="002A1A32"/>
    <w:rsid w:val="002A435B"/>
    <w:rsid w:val="002A5F6F"/>
    <w:rsid w:val="002A61C0"/>
    <w:rsid w:val="002A7A39"/>
    <w:rsid w:val="002A7C2A"/>
    <w:rsid w:val="002A7E53"/>
    <w:rsid w:val="002B0170"/>
    <w:rsid w:val="002B0254"/>
    <w:rsid w:val="002B0CE6"/>
    <w:rsid w:val="002B1321"/>
    <w:rsid w:val="002B166D"/>
    <w:rsid w:val="002B1B0A"/>
    <w:rsid w:val="002B1C7C"/>
    <w:rsid w:val="002B5A16"/>
    <w:rsid w:val="002B5A29"/>
    <w:rsid w:val="002B7C45"/>
    <w:rsid w:val="002C04D7"/>
    <w:rsid w:val="002C1319"/>
    <w:rsid w:val="002C16BF"/>
    <w:rsid w:val="002C3E75"/>
    <w:rsid w:val="002C53A8"/>
    <w:rsid w:val="002C56D5"/>
    <w:rsid w:val="002C6484"/>
    <w:rsid w:val="002C7108"/>
    <w:rsid w:val="002C7BFA"/>
    <w:rsid w:val="002D141D"/>
    <w:rsid w:val="002D167F"/>
    <w:rsid w:val="002D1F9C"/>
    <w:rsid w:val="002D36B5"/>
    <w:rsid w:val="002D3F87"/>
    <w:rsid w:val="002D43BC"/>
    <w:rsid w:val="002E232D"/>
    <w:rsid w:val="002E2DCC"/>
    <w:rsid w:val="002E5464"/>
    <w:rsid w:val="002E576E"/>
    <w:rsid w:val="002E5A48"/>
    <w:rsid w:val="002E5AE2"/>
    <w:rsid w:val="002E5BD7"/>
    <w:rsid w:val="002F45AC"/>
    <w:rsid w:val="002F5277"/>
    <w:rsid w:val="002F59F6"/>
    <w:rsid w:val="002F7469"/>
    <w:rsid w:val="00302F24"/>
    <w:rsid w:val="00304815"/>
    <w:rsid w:val="00310FF5"/>
    <w:rsid w:val="003139F5"/>
    <w:rsid w:val="00313C38"/>
    <w:rsid w:val="00314112"/>
    <w:rsid w:val="00314F3D"/>
    <w:rsid w:val="003176FC"/>
    <w:rsid w:val="0032163A"/>
    <w:rsid w:val="00321CFE"/>
    <w:rsid w:val="0032512B"/>
    <w:rsid w:val="00332E55"/>
    <w:rsid w:val="00335597"/>
    <w:rsid w:val="0033662F"/>
    <w:rsid w:val="00337097"/>
    <w:rsid w:val="00337694"/>
    <w:rsid w:val="00341075"/>
    <w:rsid w:val="00341EC9"/>
    <w:rsid w:val="00342559"/>
    <w:rsid w:val="00342837"/>
    <w:rsid w:val="00344969"/>
    <w:rsid w:val="00347CA7"/>
    <w:rsid w:val="003523C8"/>
    <w:rsid w:val="003526B3"/>
    <w:rsid w:val="00352B89"/>
    <w:rsid w:val="003555E7"/>
    <w:rsid w:val="0035723C"/>
    <w:rsid w:val="00362FA8"/>
    <w:rsid w:val="0036387F"/>
    <w:rsid w:val="0036440F"/>
    <w:rsid w:val="00371D27"/>
    <w:rsid w:val="003732F9"/>
    <w:rsid w:val="00374868"/>
    <w:rsid w:val="00375DA9"/>
    <w:rsid w:val="00376E09"/>
    <w:rsid w:val="003800EC"/>
    <w:rsid w:val="003814B4"/>
    <w:rsid w:val="00382F8F"/>
    <w:rsid w:val="00383002"/>
    <w:rsid w:val="00383E96"/>
    <w:rsid w:val="00384B7B"/>
    <w:rsid w:val="00386A83"/>
    <w:rsid w:val="003874CB"/>
    <w:rsid w:val="00391B99"/>
    <w:rsid w:val="0039217A"/>
    <w:rsid w:val="0039293D"/>
    <w:rsid w:val="003929A8"/>
    <w:rsid w:val="00392ACF"/>
    <w:rsid w:val="003936E8"/>
    <w:rsid w:val="003938BA"/>
    <w:rsid w:val="00394C86"/>
    <w:rsid w:val="003961FD"/>
    <w:rsid w:val="003A1CEB"/>
    <w:rsid w:val="003A36CD"/>
    <w:rsid w:val="003A3845"/>
    <w:rsid w:val="003A43F0"/>
    <w:rsid w:val="003A4BB6"/>
    <w:rsid w:val="003A5A7D"/>
    <w:rsid w:val="003A654D"/>
    <w:rsid w:val="003A7641"/>
    <w:rsid w:val="003B0259"/>
    <w:rsid w:val="003B1665"/>
    <w:rsid w:val="003B6DD3"/>
    <w:rsid w:val="003B73B9"/>
    <w:rsid w:val="003C059D"/>
    <w:rsid w:val="003C0834"/>
    <w:rsid w:val="003C2486"/>
    <w:rsid w:val="003C62FC"/>
    <w:rsid w:val="003D0A25"/>
    <w:rsid w:val="003D0A60"/>
    <w:rsid w:val="003D2D82"/>
    <w:rsid w:val="003D561B"/>
    <w:rsid w:val="003D6C65"/>
    <w:rsid w:val="003D778B"/>
    <w:rsid w:val="003D7F13"/>
    <w:rsid w:val="003E0182"/>
    <w:rsid w:val="003E39B2"/>
    <w:rsid w:val="003E3E01"/>
    <w:rsid w:val="003E60C5"/>
    <w:rsid w:val="003E6863"/>
    <w:rsid w:val="003E6C50"/>
    <w:rsid w:val="003E79F2"/>
    <w:rsid w:val="003F1752"/>
    <w:rsid w:val="003F2BAD"/>
    <w:rsid w:val="003F4010"/>
    <w:rsid w:val="003F4EEA"/>
    <w:rsid w:val="003F5C51"/>
    <w:rsid w:val="003F7BD0"/>
    <w:rsid w:val="0040114F"/>
    <w:rsid w:val="004011CD"/>
    <w:rsid w:val="0040217D"/>
    <w:rsid w:val="00402E96"/>
    <w:rsid w:val="004036F7"/>
    <w:rsid w:val="004049EF"/>
    <w:rsid w:val="00406E94"/>
    <w:rsid w:val="00410718"/>
    <w:rsid w:val="004108BA"/>
    <w:rsid w:val="0041173E"/>
    <w:rsid w:val="0041306A"/>
    <w:rsid w:val="004148D3"/>
    <w:rsid w:val="00415002"/>
    <w:rsid w:val="00415F4D"/>
    <w:rsid w:val="004215F3"/>
    <w:rsid w:val="004221FB"/>
    <w:rsid w:val="00422795"/>
    <w:rsid w:val="00423554"/>
    <w:rsid w:val="004242DE"/>
    <w:rsid w:val="00425384"/>
    <w:rsid w:val="004262F9"/>
    <w:rsid w:val="00427D84"/>
    <w:rsid w:val="0043431C"/>
    <w:rsid w:val="00435744"/>
    <w:rsid w:val="00435C7B"/>
    <w:rsid w:val="00436B9D"/>
    <w:rsid w:val="00441628"/>
    <w:rsid w:val="00442245"/>
    <w:rsid w:val="00442345"/>
    <w:rsid w:val="004429F7"/>
    <w:rsid w:val="00442D70"/>
    <w:rsid w:val="00442F05"/>
    <w:rsid w:val="00444535"/>
    <w:rsid w:val="004453F7"/>
    <w:rsid w:val="0044548C"/>
    <w:rsid w:val="004508E4"/>
    <w:rsid w:val="00451928"/>
    <w:rsid w:val="00453727"/>
    <w:rsid w:val="0045573F"/>
    <w:rsid w:val="00457541"/>
    <w:rsid w:val="0046040E"/>
    <w:rsid w:val="0046142C"/>
    <w:rsid w:val="00463A8A"/>
    <w:rsid w:val="00466543"/>
    <w:rsid w:val="00466A53"/>
    <w:rsid w:val="00470B2D"/>
    <w:rsid w:val="00472133"/>
    <w:rsid w:val="0047257D"/>
    <w:rsid w:val="00472B6C"/>
    <w:rsid w:val="00475699"/>
    <w:rsid w:val="004758A1"/>
    <w:rsid w:val="00477EC0"/>
    <w:rsid w:val="004803B0"/>
    <w:rsid w:val="00483412"/>
    <w:rsid w:val="0048485A"/>
    <w:rsid w:val="00484C8F"/>
    <w:rsid w:val="0048531B"/>
    <w:rsid w:val="00486157"/>
    <w:rsid w:val="004873EB"/>
    <w:rsid w:val="004906C6"/>
    <w:rsid w:val="00491979"/>
    <w:rsid w:val="00491C93"/>
    <w:rsid w:val="004924FA"/>
    <w:rsid w:val="00493AF9"/>
    <w:rsid w:val="004948D9"/>
    <w:rsid w:val="00496859"/>
    <w:rsid w:val="0049699D"/>
    <w:rsid w:val="004A0482"/>
    <w:rsid w:val="004A0907"/>
    <w:rsid w:val="004A1ADB"/>
    <w:rsid w:val="004A22C0"/>
    <w:rsid w:val="004A34B2"/>
    <w:rsid w:val="004A3DB5"/>
    <w:rsid w:val="004A679B"/>
    <w:rsid w:val="004A7F7C"/>
    <w:rsid w:val="004B21E6"/>
    <w:rsid w:val="004B44BB"/>
    <w:rsid w:val="004C05E2"/>
    <w:rsid w:val="004C0A92"/>
    <w:rsid w:val="004C0E0E"/>
    <w:rsid w:val="004C1F2D"/>
    <w:rsid w:val="004C1F98"/>
    <w:rsid w:val="004C26A6"/>
    <w:rsid w:val="004C271A"/>
    <w:rsid w:val="004C2B82"/>
    <w:rsid w:val="004C477D"/>
    <w:rsid w:val="004C479D"/>
    <w:rsid w:val="004C48F2"/>
    <w:rsid w:val="004C7351"/>
    <w:rsid w:val="004D1FEB"/>
    <w:rsid w:val="004D2565"/>
    <w:rsid w:val="004D4E32"/>
    <w:rsid w:val="004D510A"/>
    <w:rsid w:val="004D6F80"/>
    <w:rsid w:val="004D7B15"/>
    <w:rsid w:val="004E03E1"/>
    <w:rsid w:val="004E0BD1"/>
    <w:rsid w:val="004E0D3A"/>
    <w:rsid w:val="004E140C"/>
    <w:rsid w:val="004E5003"/>
    <w:rsid w:val="004E62BB"/>
    <w:rsid w:val="004F1A15"/>
    <w:rsid w:val="004F1CFF"/>
    <w:rsid w:val="00500177"/>
    <w:rsid w:val="005023C6"/>
    <w:rsid w:val="005025E7"/>
    <w:rsid w:val="005032DB"/>
    <w:rsid w:val="00504B14"/>
    <w:rsid w:val="00507534"/>
    <w:rsid w:val="00510908"/>
    <w:rsid w:val="005111A6"/>
    <w:rsid w:val="00511BB0"/>
    <w:rsid w:val="005121EE"/>
    <w:rsid w:val="0051253A"/>
    <w:rsid w:val="00512979"/>
    <w:rsid w:val="00513F9F"/>
    <w:rsid w:val="00514971"/>
    <w:rsid w:val="00514D73"/>
    <w:rsid w:val="005166A0"/>
    <w:rsid w:val="00516D3E"/>
    <w:rsid w:val="005203FC"/>
    <w:rsid w:val="005221EF"/>
    <w:rsid w:val="00524AE5"/>
    <w:rsid w:val="00524F90"/>
    <w:rsid w:val="005254BA"/>
    <w:rsid w:val="00525BD4"/>
    <w:rsid w:val="005265CA"/>
    <w:rsid w:val="005276FD"/>
    <w:rsid w:val="00527723"/>
    <w:rsid w:val="00527849"/>
    <w:rsid w:val="005279B0"/>
    <w:rsid w:val="00527BD2"/>
    <w:rsid w:val="00527CB0"/>
    <w:rsid w:val="00532A2B"/>
    <w:rsid w:val="00533306"/>
    <w:rsid w:val="005343EB"/>
    <w:rsid w:val="0053455B"/>
    <w:rsid w:val="00534B8D"/>
    <w:rsid w:val="00534D7A"/>
    <w:rsid w:val="00535D90"/>
    <w:rsid w:val="00540D2B"/>
    <w:rsid w:val="005422B3"/>
    <w:rsid w:val="00543F9C"/>
    <w:rsid w:val="00545BB6"/>
    <w:rsid w:val="00545F91"/>
    <w:rsid w:val="00546D8B"/>
    <w:rsid w:val="00551341"/>
    <w:rsid w:val="00554C48"/>
    <w:rsid w:val="00555183"/>
    <w:rsid w:val="005622A5"/>
    <w:rsid w:val="0057176D"/>
    <w:rsid w:val="00572EB3"/>
    <w:rsid w:val="005746AE"/>
    <w:rsid w:val="005750FC"/>
    <w:rsid w:val="00576552"/>
    <w:rsid w:val="00582AB3"/>
    <w:rsid w:val="0058457A"/>
    <w:rsid w:val="005856B0"/>
    <w:rsid w:val="0058613C"/>
    <w:rsid w:val="0058620C"/>
    <w:rsid w:val="00586658"/>
    <w:rsid w:val="00590420"/>
    <w:rsid w:val="00590999"/>
    <w:rsid w:val="0059432C"/>
    <w:rsid w:val="00595398"/>
    <w:rsid w:val="005953C0"/>
    <w:rsid w:val="00595D9C"/>
    <w:rsid w:val="005961AF"/>
    <w:rsid w:val="005977BC"/>
    <w:rsid w:val="005A0D88"/>
    <w:rsid w:val="005A1194"/>
    <w:rsid w:val="005A2E6B"/>
    <w:rsid w:val="005A3996"/>
    <w:rsid w:val="005A64D6"/>
    <w:rsid w:val="005A75B5"/>
    <w:rsid w:val="005A7C71"/>
    <w:rsid w:val="005B085A"/>
    <w:rsid w:val="005B0DF8"/>
    <w:rsid w:val="005B1D20"/>
    <w:rsid w:val="005B2268"/>
    <w:rsid w:val="005B354F"/>
    <w:rsid w:val="005C0A6F"/>
    <w:rsid w:val="005C0CC6"/>
    <w:rsid w:val="005C1BF4"/>
    <w:rsid w:val="005C53B0"/>
    <w:rsid w:val="005C56FB"/>
    <w:rsid w:val="005C5DAD"/>
    <w:rsid w:val="005D1F56"/>
    <w:rsid w:val="005D2056"/>
    <w:rsid w:val="005D20B8"/>
    <w:rsid w:val="005D3028"/>
    <w:rsid w:val="005D3B83"/>
    <w:rsid w:val="005D4848"/>
    <w:rsid w:val="005D5F66"/>
    <w:rsid w:val="005D656C"/>
    <w:rsid w:val="005D74A4"/>
    <w:rsid w:val="005D7DB9"/>
    <w:rsid w:val="005E114D"/>
    <w:rsid w:val="005E1E02"/>
    <w:rsid w:val="005E26C5"/>
    <w:rsid w:val="005E64A9"/>
    <w:rsid w:val="005E64C8"/>
    <w:rsid w:val="005E68FA"/>
    <w:rsid w:val="005F1B8A"/>
    <w:rsid w:val="005F2DA2"/>
    <w:rsid w:val="005F5026"/>
    <w:rsid w:val="005F655C"/>
    <w:rsid w:val="005F6D80"/>
    <w:rsid w:val="005F6F95"/>
    <w:rsid w:val="005F754B"/>
    <w:rsid w:val="00601ADA"/>
    <w:rsid w:val="00601DBC"/>
    <w:rsid w:val="006028DA"/>
    <w:rsid w:val="00602B81"/>
    <w:rsid w:val="0060433B"/>
    <w:rsid w:val="0060595E"/>
    <w:rsid w:val="00606833"/>
    <w:rsid w:val="0061208B"/>
    <w:rsid w:val="0061258B"/>
    <w:rsid w:val="0061375F"/>
    <w:rsid w:val="00614CB0"/>
    <w:rsid w:val="0061634E"/>
    <w:rsid w:val="00616D2B"/>
    <w:rsid w:val="00620201"/>
    <w:rsid w:val="00623380"/>
    <w:rsid w:val="006244C7"/>
    <w:rsid w:val="00624D98"/>
    <w:rsid w:val="006265DF"/>
    <w:rsid w:val="00632671"/>
    <w:rsid w:val="00632EF6"/>
    <w:rsid w:val="00633E69"/>
    <w:rsid w:val="00634323"/>
    <w:rsid w:val="0063481E"/>
    <w:rsid w:val="00634C55"/>
    <w:rsid w:val="00634C8D"/>
    <w:rsid w:val="0063600C"/>
    <w:rsid w:val="006372E6"/>
    <w:rsid w:val="00641237"/>
    <w:rsid w:val="00641F4C"/>
    <w:rsid w:val="00644817"/>
    <w:rsid w:val="006512CA"/>
    <w:rsid w:val="006527EC"/>
    <w:rsid w:val="00652A99"/>
    <w:rsid w:val="006540AD"/>
    <w:rsid w:val="00655DF6"/>
    <w:rsid w:val="006570D2"/>
    <w:rsid w:val="006575A5"/>
    <w:rsid w:val="00660C4F"/>
    <w:rsid w:val="00661F3C"/>
    <w:rsid w:val="006628BA"/>
    <w:rsid w:val="006646F8"/>
    <w:rsid w:val="006648B6"/>
    <w:rsid w:val="00665879"/>
    <w:rsid w:val="006722A7"/>
    <w:rsid w:val="0067257A"/>
    <w:rsid w:val="00674FCD"/>
    <w:rsid w:val="006750B7"/>
    <w:rsid w:val="00675AE2"/>
    <w:rsid w:val="00676215"/>
    <w:rsid w:val="006768C0"/>
    <w:rsid w:val="00680485"/>
    <w:rsid w:val="00680800"/>
    <w:rsid w:val="00680B6F"/>
    <w:rsid w:val="00680C3D"/>
    <w:rsid w:val="0068280C"/>
    <w:rsid w:val="006828D1"/>
    <w:rsid w:val="00687167"/>
    <w:rsid w:val="006876D4"/>
    <w:rsid w:val="0069064B"/>
    <w:rsid w:val="00691CE5"/>
    <w:rsid w:val="00693DBB"/>
    <w:rsid w:val="0069483C"/>
    <w:rsid w:val="0069773D"/>
    <w:rsid w:val="00697BE6"/>
    <w:rsid w:val="006A0531"/>
    <w:rsid w:val="006A0FA0"/>
    <w:rsid w:val="006A29A4"/>
    <w:rsid w:val="006A309E"/>
    <w:rsid w:val="006A384C"/>
    <w:rsid w:val="006A426A"/>
    <w:rsid w:val="006A47B7"/>
    <w:rsid w:val="006A6C07"/>
    <w:rsid w:val="006A6E74"/>
    <w:rsid w:val="006B1B22"/>
    <w:rsid w:val="006B469A"/>
    <w:rsid w:val="006B5C6B"/>
    <w:rsid w:val="006B78B9"/>
    <w:rsid w:val="006B7FE6"/>
    <w:rsid w:val="006B7FFA"/>
    <w:rsid w:val="006C03CC"/>
    <w:rsid w:val="006C20F7"/>
    <w:rsid w:val="006C2DC6"/>
    <w:rsid w:val="006C4849"/>
    <w:rsid w:val="006C4A69"/>
    <w:rsid w:val="006C797C"/>
    <w:rsid w:val="006D0DFF"/>
    <w:rsid w:val="006D3A9F"/>
    <w:rsid w:val="006D4ACA"/>
    <w:rsid w:val="006D7FB9"/>
    <w:rsid w:val="006E3225"/>
    <w:rsid w:val="006E6B6A"/>
    <w:rsid w:val="006E70AF"/>
    <w:rsid w:val="006E786E"/>
    <w:rsid w:val="006F04D9"/>
    <w:rsid w:val="006F1260"/>
    <w:rsid w:val="006F1861"/>
    <w:rsid w:val="006F295E"/>
    <w:rsid w:val="006F2AAF"/>
    <w:rsid w:val="006F370E"/>
    <w:rsid w:val="006F3E29"/>
    <w:rsid w:val="006F4657"/>
    <w:rsid w:val="006F51FC"/>
    <w:rsid w:val="006F7F40"/>
    <w:rsid w:val="0070137D"/>
    <w:rsid w:val="00702DD7"/>
    <w:rsid w:val="007034C4"/>
    <w:rsid w:val="00704CB8"/>
    <w:rsid w:val="0070529F"/>
    <w:rsid w:val="00706F4A"/>
    <w:rsid w:val="0070743F"/>
    <w:rsid w:val="00710A4A"/>
    <w:rsid w:val="007125D0"/>
    <w:rsid w:val="0072058E"/>
    <w:rsid w:val="0072270D"/>
    <w:rsid w:val="00722EAC"/>
    <w:rsid w:val="0072573F"/>
    <w:rsid w:val="00725BE6"/>
    <w:rsid w:val="0072668A"/>
    <w:rsid w:val="0072668D"/>
    <w:rsid w:val="00730E41"/>
    <w:rsid w:val="00731E1B"/>
    <w:rsid w:val="0073412A"/>
    <w:rsid w:val="00737CDD"/>
    <w:rsid w:val="007400C9"/>
    <w:rsid w:val="0074169E"/>
    <w:rsid w:val="00741711"/>
    <w:rsid w:val="00741B3E"/>
    <w:rsid w:val="00741B59"/>
    <w:rsid w:val="00742952"/>
    <w:rsid w:val="00743834"/>
    <w:rsid w:val="00743AED"/>
    <w:rsid w:val="007520BA"/>
    <w:rsid w:val="00752443"/>
    <w:rsid w:val="007528B6"/>
    <w:rsid w:val="0075300C"/>
    <w:rsid w:val="00753C0B"/>
    <w:rsid w:val="00754522"/>
    <w:rsid w:val="007545E0"/>
    <w:rsid w:val="00757EAA"/>
    <w:rsid w:val="00760041"/>
    <w:rsid w:val="0076030A"/>
    <w:rsid w:val="00760B62"/>
    <w:rsid w:val="007616CC"/>
    <w:rsid w:val="00762BED"/>
    <w:rsid w:val="007631E3"/>
    <w:rsid w:val="007645EC"/>
    <w:rsid w:val="00772C27"/>
    <w:rsid w:val="00773BBC"/>
    <w:rsid w:val="00773BD3"/>
    <w:rsid w:val="00774C91"/>
    <w:rsid w:val="00774F77"/>
    <w:rsid w:val="0077545A"/>
    <w:rsid w:val="0077546A"/>
    <w:rsid w:val="007806AB"/>
    <w:rsid w:val="0078255A"/>
    <w:rsid w:val="00783872"/>
    <w:rsid w:val="00785B38"/>
    <w:rsid w:val="00786AC1"/>
    <w:rsid w:val="00787E06"/>
    <w:rsid w:val="0079298B"/>
    <w:rsid w:val="007940A4"/>
    <w:rsid w:val="00794151"/>
    <w:rsid w:val="00795270"/>
    <w:rsid w:val="007958B3"/>
    <w:rsid w:val="00797DED"/>
    <w:rsid w:val="007A09E7"/>
    <w:rsid w:val="007A108A"/>
    <w:rsid w:val="007A23A8"/>
    <w:rsid w:val="007A2457"/>
    <w:rsid w:val="007A2501"/>
    <w:rsid w:val="007A2C6C"/>
    <w:rsid w:val="007A3129"/>
    <w:rsid w:val="007A65CB"/>
    <w:rsid w:val="007A7825"/>
    <w:rsid w:val="007A7AE5"/>
    <w:rsid w:val="007B199E"/>
    <w:rsid w:val="007B1E5E"/>
    <w:rsid w:val="007B4092"/>
    <w:rsid w:val="007B4870"/>
    <w:rsid w:val="007B50AC"/>
    <w:rsid w:val="007B70FF"/>
    <w:rsid w:val="007C0A45"/>
    <w:rsid w:val="007C20A6"/>
    <w:rsid w:val="007C3F1E"/>
    <w:rsid w:val="007C43B7"/>
    <w:rsid w:val="007C49FD"/>
    <w:rsid w:val="007C4FE5"/>
    <w:rsid w:val="007C692B"/>
    <w:rsid w:val="007D1482"/>
    <w:rsid w:val="007D3825"/>
    <w:rsid w:val="007D4614"/>
    <w:rsid w:val="007D512F"/>
    <w:rsid w:val="007D51E5"/>
    <w:rsid w:val="007D63A7"/>
    <w:rsid w:val="007D6C37"/>
    <w:rsid w:val="007D716F"/>
    <w:rsid w:val="007D7854"/>
    <w:rsid w:val="007E2F66"/>
    <w:rsid w:val="007E5953"/>
    <w:rsid w:val="007E5B3F"/>
    <w:rsid w:val="007E74A5"/>
    <w:rsid w:val="007E7B85"/>
    <w:rsid w:val="007F066F"/>
    <w:rsid w:val="007F08FE"/>
    <w:rsid w:val="007F17C4"/>
    <w:rsid w:val="007F2779"/>
    <w:rsid w:val="007F3075"/>
    <w:rsid w:val="007F6339"/>
    <w:rsid w:val="007F639C"/>
    <w:rsid w:val="007F6792"/>
    <w:rsid w:val="00800355"/>
    <w:rsid w:val="00800D34"/>
    <w:rsid w:val="008031F8"/>
    <w:rsid w:val="00803604"/>
    <w:rsid w:val="00805DD1"/>
    <w:rsid w:val="00806426"/>
    <w:rsid w:val="0080701D"/>
    <w:rsid w:val="008078EC"/>
    <w:rsid w:val="00811DA2"/>
    <w:rsid w:val="00812E01"/>
    <w:rsid w:val="0081350E"/>
    <w:rsid w:val="0081426B"/>
    <w:rsid w:val="0081499B"/>
    <w:rsid w:val="00817130"/>
    <w:rsid w:val="00817F40"/>
    <w:rsid w:val="00820D42"/>
    <w:rsid w:val="00820F5F"/>
    <w:rsid w:val="00821588"/>
    <w:rsid w:val="008217FE"/>
    <w:rsid w:val="00823138"/>
    <w:rsid w:val="0082453C"/>
    <w:rsid w:val="0082464D"/>
    <w:rsid w:val="00824927"/>
    <w:rsid w:val="0082567E"/>
    <w:rsid w:val="008259D2"/>
    <w:rsid w:val="00831A98"/>
    <w:rsid w:val="00833120"/>
    <w:rsid w:val="00833D05"/>
    <w:rsid w:val="0083648D"/>
    <w:rsid w:val="00837E00"/>
    <w:rsid w:val="0084298F"/>
    <w:rsid w:val="00842F17"/>
    <w:rsid w:val="00843319"/>
    <w:rsid w:val="00843C0D"/>
    <w:rsid w:val="008449FE"/>
    <w:rsid w:val="008465BC"/>
    <w:rsid w:val="00846698"/>
    <w:rsid w:val="00846724"/>
    <w:rsid w:val="00846799"/>
    <w:rsid w:val="00846A90"/>
    <w:rsid w:val="00847981"/>
    <w:rsid w:val="00847A74"/>
    <w:rsid w:val="00850A62"/>
    <w:rsid w:val="00850EA2"/>
    <w:rsid w:val="008523A1"/>
    <w:rsid w:val="00852A7F"/>
    <w:rsid w:val="00856E49"/>
    <w:rsid w:val="00857B03"/>
    <w:rsid w:val="00857DBD"/>
    <w:rsid w:val="00860C12"/>
    <w:rsid w:val="00862749"/>
    <w:rsid w:val="00867940"/>
    <w:rsid w:val="008710FC"/>
    <w:rsid w:val="00872FD4"/>
    <w:rsid w:val="00873681"/>
    <w:rsid w:val="00874597"/>
    <w:rsid w:val="00874F3A"/>
    <w:rsid w:val="00875EBA"/>
    <w:rsid w:val="0087635D"/>
    <w:rsid w:val="008775BE"/>
    <w:rsid w:val="00877F1B"/>
    <w:rsid w:val="00880455"/>
    <w:rsid w:val="00881067"/>
    <w:rsid w:val="00882626"/>
    <w:rsid w:val="008850AC"/>
    <w:rsid w:val="008867EA"/>
    <w:rsid w:val="0088681E"/>
    <w:rsid w:val="008870CE"/>
    <w:rsid w:val="008876EC"/>
    <w:rsid w:val="008918BF"/>
    <w:rsid w:val="008938DB"/>
    <w:rsid w:val="00894431"/>
    <w:rsid w:val="0089520A"/>
    <w:rsid w:val="008952A0"/>
    <w:rsid w:val="00896247"/>
    <w:rsid w:val="008972DC"/>
    <w:rsid w:val="008A0704"/>
    <w:rsid w:val="008A093F"/>
    <w:rsid w:val="008A0AAF"/>
    <w:rsid w:val="008A1241"/>
    <w:rsid w:val="008A1DC6"/>
    <w:rsid w:val="008A1E99"/>
    <w:rsid w:val="008A294F"/>
    <w:rsid w:val="008A4140"/>
    <w:rsid w:val="008A4CA8"/>
    <w:rsid w:val="008A5136"/>
    <w:rsid w:val="008A52EE"/>
    <w:rsid w:val="008A54C8"/>
    <w:rsid w:val="008A6AD5"/>
    <w:rsid w:val="008A6BBC"/>
    <w:rsid w:val="008A746F"/>
    <w:rsid w:val="008A7A2C"/>
    <w:rsid w:val="008B173A"/>
    <w:rsid w:val="008B1CFB"/>
    <w:rsid w:val="008B3F04"/>
    <w:rsid w:val="008B47BF"/>
    <w:rsid w:val="008B4875"/>
    <w:rsid w:val="008B5160"/>
    <w:rsid w:val="008B701D"/>
    <w:rsid w:val="008C0095"/>
    <w:rsid w:val="008C0D14"/>
    <w:rsid w:val="008C16AD"/>
    <w:rsid w:val="008C1D7E"/>
    <w:rsid w:val="008C60BB"/>
    <w:rsid w:val="008D0582"/>
    <w:rsid w:val="008D0C9E"/>
    <w:rsid w:val="008D0F0A"/>
    <w:rsid w:val="008D222F"/>
    <w:rsid w:val="008D2D81"/>
    <w:rsid w:val="008D3688"/>
    <w:rsid w:val="008D58B9"/>
    <w:rsid w:val="008D5DEF"/>
    <w:rsid w:val="008D6B90"/>
    <w:rsid w:val="008E0564"/>
    <w:rsid w:val="008E1677"/>
    <w:rsid w:val="008E2F6B"/>
    <w:rsid w:val="008E42B2"/>
    <w:rsid w:val="008E5FCF"/>
    <w:rsid w:val="008E6916"/>
    <w:rsid w:val="008E6ED2"/>
    <w:rsid w:val="008E7DA2"/>
    <w:rsid w:val="008F05D2"/>
    <w:rsid w:val="008F0950"/>
    <w:rsid w:val="008F18FF"/>
    <w:rsid w:val="008F1D6E"/>
    <w:rsid w:val="008F1DA2"/>
    <w:rsid w:val="008F26A5"/>
    <w:rsid w:val="008F32EE"/>
    <w:rsid w:val="008F3426"/>
    <w:rsid w:val="008F3607"/>
    <w:rsid w:val="008F4328"/>
    <w:rsid w:val="008F48A0"/>
    <w:rsid w:val="008F4B82"/>
    <w:rsid w:val="008F54C2"/>
    <w:rsid w:val="008F57FE"/>
    <w:rsid w:val="008F7261"/>
    <w:rsid w:val="008F7711"/>
    <w:rsid w:val="0090041D"/>
    <w:rsid w:val="00903270"/>
    <w:rsid w:val="00903355"/>
    <w:rsid w:val="00903A50"/>
    <w:rsid w:val="00904DAF"/>
    <w:rsid w:val="00904ECB"/>
    <w:rsid w:val="00905B25"/>
    <w:rsid w:val="00907C28"/>
    <w:rsid w:val="00907F47"/>
    <w:rsid w:val="00910465"/>
    <w:rsid w:val="009109D0"/>
    <w:rsid w:val="00911971"/>
    <w:rsid w:val="0091262F"/>
    <w:rsid w:val="009128A4"/>
    <w:rsid w:val="00913058"/>
    <w:rsid w:val="00913799"/>
    <w:rsid w:val="00914AFC"/>
    <w:rsid w:val="009150D3"/>
    <w:rsid w:val="00917314"/>
    <w:rsid w:val="009177B7"/>
    <w:rsid w:val="00921D66"/>
    <w:rsid w:val="00924AF6"/>
    <w:rsid w:val="00927438"/>
    <w:rsid w:val="00927494"/>
    <w:rsid w:val="00930638"/>
    <w:rsid w:val="00931D98"/>
    <w:rsid w:val="00932224"/>
    <w:rsid w:val="009358F2"/>
    <w:rsid w:val="009363B1"/>
    <w:rsid w:val="0094184E"/>
    <w:rsid w:val="00941E39"/>
    <w:rsid w:val="00942455"/>
    <w:rsid w:val="00942DB7"/>
    <w:rsid w:val="009430D7"/>
    <w:rsid w:val="0094384E"/>
    <w:rsid w:val="009462BB"/>
    <w:rsid w:val="0095030C"/>
    <w:rsid w:val="00954D46"/>
    <w:rsid w:val="00955797"/>
    <w:rsid w:val="00956259"/>
    <w:rsid w:val="00964A8E"/>
    <w:rsid w:val="009663FD"/>
    <w:rsid w:val="0096663C"/>
    <w:rsid w:val="009676E2"/>
    <w:rsid w:val="00967A84"/>
    <w:rsid w:val="00971506"/>
    <w:rsid w:val="00972233"/>
    <w:rsid w:val="0097402B"/>
    <w:rsid w:val="009752EF"/>
    <w:rsid w:val="009758F1"/>
    <w:rsid w:val="00975E98"/>
    <w:rsid w:val="0097735A"/>
    <w:rsid w:val="009802A2"/>
    <w:rsid w:val="00981813"/>
    <w:rsid w:val="009820F9"/>
    <w:rsid w:val="009848A9"/>
    <w:rsid w:val="00985657"/>
    <w:rsid w:val="0098726C"/>
    <w:rsid w:val="00992351"/>
    <w:rsid w:val="00992AAF"/>
    <w:rsid w:val="009935BD"/>
    <w:rsid w:val="00993A4C"/>
    <w:rsid w:val="00993AF2"/>
    <w:rsid w:val="00994EB0"/>
    <w:rsid w:val="00994F88"/>
    <w:rsid w:val="0099642A"/>
    <w:rsid w:val="009969D2"/>
    <w:rsid w:val="0099727F"/>
    <w:rsid w:val="00997CE2"/>
    <w:rsid w:val="009A0250"/>
    <w:rsid w:val="009A0D87"/>
    <w:rsid w:val="009A120D"/>
    <w:rsid w:val="009A1AA2"/>
    <w:rsid w:val="009A20CE"/>
    <w:rsid w:val="009A4B2E"/>
    <w:rsid w:val="009A5EC7"/>
    <w:rsid w:val="009A74D0"/>
    <w:rsid w:val="009B190B"/>
    <w:rsid w:val="009B30D5"/>
    <w:rsid w:val="009B43BD"/>
    <w:rsid w:val="009B4C61"/>
    <w:rsid w:val="009B58DE"/>
    <w:rsid w:val="009B6299"/>
    <w:rsid w:val="009B748C"/>
    <w:rsid w:val="009C00C0"/>
    <w:rsid w:val="009C0D91"/>
    <w:rsid w:val="009C11DB"/>
    <w:rsid w:val="009C3422"/>
    <w:rsid w:val="009C3DD0"/>
    <w:rsid w:val="009C3F2C"/>
    <w:rsid w:val="009C4215"/>
    <w:rsid w:val="009C67DC"/>
    <w:rsid w:val="009D0196"/>
    <w:rsid w:val="009D01CD"/>
    <w:rsid w:val="009D1299"/>
    <w:rsid w:val="009D186B"/>
    <w:rsid w:val="009D218A"/>
    <w:rsid w:val="009D3ABC"/>
    <w:rsid w:val="009D59A7"/>
    <w:rsid w:val="009D6279"/>
    <w:rsid w:val="009E070B"/>
    <w:rsid w:val="009E0CA2"/>
    <w:rsid w:val="009E1F26"/>
    <w:rsid w:val="009E395C"/>
    <w:rsid w:val="009E466F"/>
    <w:rsid w:val="009E4FE4"/>
    <w:rsid w:val="009E5104"/>
    <w:rsid w:val="009E5DC7"/>
    <w:rsid w:val="009F01C1"/>
    <w:rsid w:val="009F14C8"/>
    <w:rsid w:val="009F1C26"/>
    <w:rsid w:val="009F41B6"/>
    <w:rsid w:val="009F5165"/>
    <w:rsid w:val="009F56FD"/>
    <w:rsid w:val="009F5AE2"/>
    <w:rsid w:val="009F7F1F"/>
    <w:rsid w:val="00A00727"/>
    <w:rsid w:val="00A024A7"/>
    <w:rsid w:val="00A024F8"/>
    <w:rsid w:val="00A03478"/>
    <w:rsid w:val="00A038B4"/>
    <w:rsid w:val="00A040EA"/>
    <w:rsid w:val="00A05E34"/>
    <w:rsid w:val="00A062F9"/>
    <w:rsid w:val="00A10525"/>
    <w:rsid w:val="00A1124D"/>
    <w:rsid w:val="00A11427"/>
    <w:rsid w:val="00A12D41"/>
    <w:rsid w:val="00A14C2E"/>
    <w:rsid w:val="00A15334"/>
    <w:rsid w:val="00A1538B"/>
    <w:rsid w:val="00A15E40"/>
    <w:rsid w:val="00A20107"/>
    <w:rsid w:val="00A2222E"/>
    <w:rsid w:val="00A22828"/>
    <w:rsid w:val="00A22F7F"/>
    <w:rsid w:val="00A23034"/>
    <w:rsid w:val="00A236C2"/>
    <w:rsid w:val="00A23FB9"/>
    <w:rsid w:val="00A249F2"/>
    <w:rsid w:val="00A24D36"/>
    <w:rsid w:val="00A24D92"/>
    <w:rsid w:val="00A3070A"/>
    <w:rsid w:val="00A3135A"/>
    <w:rsid w:val="00A32B0F"/>
    <w:rsid w:val="00A32ED4"/>
    <w:rsid w:val="00A33A4A"/>
    <w:rsid w:val="00A347F5"/>
    <w:rsid w:val="00A35E0E"/>
    <w:rsid w:val="00A35EBD"/>
    <w:rsid w:val="00A367F2"/>
    <w:rsid w:val="00A36FF8"/>
    <w:rsid w:val="00A37E0A"/>
    <w:rsid w:val="00A409CE"/>
    <w:rsid w:val="00A415C8"/>
    <w:rsid w:val="00A42A42"/>
    <w:rsid w:val="00A42A6B"/>
    <w:rsid w:val="00A4465C"/>
    <w:rsid w:val="00A447E0"/>
    <w:rsid w:val="00A46B57"/>
    <w:rsid w:val="00A51EE9"/>
    <w:rsid w:val="00A55739"/>
    <w:rsid w:val="00A558DE"/>
    <w:rsid w:val="00A55D7F"/>
    <w:rsid w:val="00A62B80"/>
    <w:rsid w:val="00A62E07"/>
    <w:rsid w:val="00A63657"/>
    <w:rsid w:val="00A64276"/>
    <w:rsid w:val="00A642C3"/>
    <w:rsid w:val="00A67E28"/>
    <w:rsid w:val="00A7021B"/>
    <w:rsid w:val="00A7152E"/>
    <w:rsid w:val="00A72877"/>
    <w:rsid w:val="00A73163"/>
    <w:rsid w:val="00A743D5"/>
    <w:rsid w:val="00A75125"/>
    <w:rsid w:val="00A757C9"/>
    <w:rsid w:val="00A7729B"/>
    <w:rsid w:val="00A8170E"/>
    <w:rsid w:val="00A83DE9"/>
    <w:rsid w:val="00A849E5"/>
    <w:rsid w:val="00A85159"/>
    <w:rsid w:val="00A86997"/>
    <w:rsid w:val="00A86FD1"/>
    <w:rsid w:val="00A901BB"/>
    <w:rsid w:val="00A91658"/>
    <w:rsid w:val="00A922F4"/>
    <w:rsid w:val="00A934B9"/>
    <w:rsid w:val="00A94CF5"/>
    <w:rsid w:val="00A957C8"/>
    <w:rsid w:val="00A963B2"/>
    <w:rsid w:val="00A967CD"/>
    <w:rsid w:val="00A9775F"/>
    <w:rsid w:val="00AA0073"/>
    <w:rsid w:val="00AA0A54"/>
    <w:rsid w:val="00AA18CA"/>
    <w:rsid w:val="00AA1D02"/>
    <w:rsid w:val="00AA2564"/>
    <w:rsid w:val="00AA457F"/>
    <w:rsid w:val="00AA57B2"/>
    <w:rsid w:val="00AA762E"/>
    <w:rsid w:val="00AA76EF"/>
    <w:rsid w:val="00AB056D"/>
    <w:rsid w:val="00AB1079"/>
    <w:rsid w:val="00AB1CCA"/>
    <w:rsid w:val="00AB4C1B"/>
    <w:rsid w:val="00AB503D"/>
    <w:rsid w:val="00AB59E4"/>
    <w:rsid w:val="00AB6DF4"/>
    <w:rsid w:val="00AB7259"/>
    <w:rsid w:val="00AC03E1"/>
    <w:rsid w:val="00AC04CD"/>
    <w:rsid w:val="00AC104F"/>
    <w:rsid w:val="00AC22ED"/>
    <w:rsid w:val="00AC3374"/>
    <w:rsid w:val="00AC540B"/>
    <w:rsid w:val="00AC6D02"/>
    <w:rsid w:val="00AC6FF4"/>
    <w:rsid w:val="00AC76AC"/>
    <w:rsid w:val="00AC7DAD"/>
    <w:rsid w:val="00AD0662"/>
    <w:rsid w:val="00AD120D"/>
    <w:rsid w:val="00AD1CAD"/>
    <w:rsid w:val="00AD212F"/>
    <w:rsid w:val="00AD2433"/>
    <w:rsid w:val="00AD32C5"/>
    <w:rsid w:val="00AD7C15"/>
    <w:rsid w:val="00AE02E6"/>
    <w:rsid w:val="00AE0793"/>
    <w:rsid w:val="00AE391B"/>
    <w:rsid w:val="00AE3F39"/>
    <w:rsid w:val="00AE4165"/>
    <w:rsid w:val="00AE4CEE"/>
    <w:rsid w:val="00AE5DD6"/>
    <w:rsid w:val="00AE65A3"/>
    <w:rsid w:val="00AE7454"/>
    <w:rsid w:val="00AF08B7"/>
    <w:rsid w:val="00AF6594"/>
    <w:rsid w:val="00B00B2E"/>
    <w:rsid w:val="00B02537"/>
    <w:rsid w:val="00B05A19"/>
    <w:rsid w:val="00B06B9A"/>
    <w:rsid w:val="00B10562"/>
    <w:rsid w:val="00B11CA2"/>
    <w:rsid w:val="00B122AC"/>
    <w:rsid w:val="00B12850"/>
    <w:rsid w:val="00B13249"/>
    <w:rsid w:val="00B135C1"/>
    <w:rsid w:val="00B150DE"/>
    <w:rsid w:val="00B1533E"/>
    <w:rsid w:val="00B17B85"/>
    <w:rsid w:val="00B2120D"/>
    <w:rsid w:val="00B22E46"/>
    <w:rsid w:val="00B230E2"/>
    <w:rsid w:val="00B233CC"/>
    <w:rsid w:val="00B23689"/>
    <w:rsid w:val="00B24994"/>
    <w:rsid w:val="00B24A5A"/>
    <w:rsid w:val="00B24AB8"/>
    <w:rsid w:val="00B24D0B"/>
    <w:rsid w:val="00B2506C"/>
    <w:rsid w:val="00B27C59"/>
    <w:rsid w:val="00B30202"/>
    <w:rsid w:val="00B318FB"/>
    <w:rsid w:val="00B31B89"/>
    <w:rsid w:val="00B31C9C"/>
    <w:rsid w:val="00B32169"/>
    <w:rsid w:val="00B32573"/>
    <w:rsid w:val="00B33B2D"/>
    <w:rsid w:val="00B35237"/>
    <w:rsid w:val="00B37C3D"/>
    <w:rsid w:val="00B4120D"/>
    <w:rsid w:val="00B41E01"/>
    <w:rsid w:val="00B4226D"/>
    <w:rsid w:val="00B43505"/>
    <w:rsid w:val="00B44ECA"/>
    <w:rsid w:val="00B4687C"/>
    <w:rsid w:val="00B52051"/>
    <w:rsid w:val="00B52A8B"/>
    <w:rsid w:val="00B53137"/>
    <w:rsid w:val="00B537C5"/>
    <w:rsid w:val="00B53B77"/>
    <w:rsid w:val="00B55BA6"/>
    <w:rsid w:val="00B55F3E"/>
    <w:rsid w:val="00B57181"/>
    <w:rsid w:val="00B57D70"/>
    <w:rsid w:val="00B610DD"/>
    <w:rsid w:val="00B6211E"/>
    <w:rsid w:val="00B62151"/>
    <w:rsid w:val="00B62826"/>
    <w:rsid w:val="00B62A28"/>
    <w:rsid w:val="00B62EA3"/>
    <w:rsid w:val="00B63377"/>
    <w:rsid w:val="00B63737"/>
    <w:rsid w:val="00B63850"/>
    <w:rsid w:val="00B63B3B"/>
    <w:rsid w:val="00B64BDC"/>
    <w:rsid w:val="00B64FAD"/>
    <w:rsid w:val="00B6523D"/>
    <w:rsid w:val="00B659B9"/>
    <w:rsid w:val="00B66AEB"/>
    <w:rsid w:val="00B67F6E"/>
    <w:rsid w:val="00B7119E"/>
    <w:rsid w:val="00B71210"/>
    <w:rsid w:val="00B722DB"/>
    <w:rsid w:val="00B729CE"/>
    <w:rsid w:val="00B73D8D"/>
    <w:rsid w:val="00B75634"/>
    <w:rsid w:val="00B7649D"/>
    <w:rsid w:val="00B77E85"/>
    <w:rsid w:val="00B826A6"/>
    <w:rsid w:val="00B83BB3"/>
    <w:rsid w:val="00B85793"/>
    <w:rsid w:val="00B85EFF"/>
    <w:rsid w:val="00B87370"/>
    <w:rsid w:val="00B87455"/>
    <w:rsid w:val="00B9121C"/>
    <w:rsid w:val="00B92F39"/>
    <w:rsid w:val="00B94585"/>
    <w:rsid w:val="00B94631"/>
    <w:rsid w:val="00B95EBE"/>
    <w:rsid w:val="00B95F8C"/>
    <w:rsid w:val="00B964C4"/>
    <w:rsid w:val="00B96E92"/>
    <w:rsid w:val="00BA0466"/>
    <w:rsid w:val="00BA17C3"/>
    <w:rsid w:val="00BA290D"/>
    <w:rsid w:val="00BB10AD"/>
    <w:rsid w:val="00BB22C4"/>
    <w:rsid w:val="00BB3039"/>
    <w:rsid w:val="00BB3FBF"/>
    <w:rsid w:val="00BB5857"/>
    <w:rsid w:val="00BC046C"/>
    <w:rsid w:val="00BC1536"/>
    <w:rsid w:val="00BC1969"/>
    <w:rsid w:val="00BC3EDD"/>
    <w:rsid w:val="00BC4610"/>
    <w:rsid w:val="00BC4C57"/>
    <w:rsid w:val="00BC57CE"/>
    <w:rsid w:val="00BC6154"/>
    <w:rsid w:val="00BC755E"/>
    <w:rsid w:val="00BD0463"/>
    <w:rsid w:val="00BD21B0"/>
    <w:rsid w:val="00BD3BC4"/>
    <w:rsid w:val="00BD4AEB"/>
    <w:rsid w:val="00BD5FC3"/>
    <w:rsid w:val="00BD6706"/>
    <w:rsid w:val="00BD6990"/>
    <w:rsid w:val="00BE08D9"/>
    <w:rsid w:val="00BE1386"/>
    <w:rsid w:val="00BE24A1"/>
    <w:rsid w:val="00BE3D68"/>
    <w:rsid w:val="00BE5FBE"/>
    <w:rsid w:val="00BE6445"/>
    <w:rsid w:val="00BF000D"/>
    <w:rsid w:val="00BF2E8E"/>
    <w:rsid w:val="00BF4291"/>
    <w:rsid w:val="00C0036A"/>
    <w:rsid w:val="00C023D5"/>
    <w:rsid w:val="00C0346B"/>
    <w:rsid w:val="00C04C64"/>
    <w:rsid w:val="00C04D05"/>
    <w:rsid w:val="00C04F12"/>
    <w:rsid w:val="00C05E2A"/>
    <w:rsid w:val="00C066C7"/>
    <w:rsid w:val="00C06DB2"/>
    <w:rsid w:val="00C10ACF"/>
    <w:rsid w:val="00C12103"/>
    <w:rsid w:val="00C17013"/>
    <w:rsid w:val="00C17863"/>
    <w:rsid w:val="00C17B3F"/>
    <w:rsid w:val="00C203B0"/>
    <w:rsid w:val="00C20BE2"/>
    <w:rsid w:val="00C22570"/>
    <w:rsid w:val="00C256C3"/>
    <w:rsid w:val="00C2580A"/>
    <w:rsid w:val="00C279A6"/>
    <w:rsid w:val="00C27D6C"/>
    <w:rsid w:val="00C30194"/>
    <w:rsid w:val="00C31306"/>
    <w:rsid w:val="00C3198F"/>
    <w:rsid w:val="00C33C6F"/>
    <w:rsid w:val="00C346D4"/>
    <w:rsid w:val="00C34D42"/>
    <w:rsid w:val="00C37973"/>
    <w:rsid w:val="00C4275C"/>
    <w:rsid w:val="00C432EC"/>
    <w:rsid w:val="00C44083"/>
    <w:rsid w:val="00C45B87"/>
    <w:rsid w:val="00C47287"/>
    <w:rsid w:val="00C5108A"/>
    <w:rsid w:val="00C53465"/>
    <w:rsid w:val="00C53D43"/>
    <w:rsid w:val="00C55EE8"/>
    <w:rsid w:val="00C56517"/>
    <w:rsid w:val="00C57A7D"/>
    <w:rsid w:val="00C57C1A"/>
    <w:rsid w:val="00C60573"/>
    <w:rsid w:val="00C60BB9"/>
    <w:rsid w:val="00C614CD"/>
    <w:rsid w:val="00C62685"/>
    <w:rsid w:val="00C63574"/>
    <w:rsid w:val="00C7036D"/>
    <w:rsid w:val="00C72587"/>
    <w:rsid w:val="00C72E5E"/>
    <w:rsid w:val="00C7394F"/>
    <w:rsid w:val="00C740D8"/>
    <w:rsid w:val="00C7430D"/>
    <w:rsid w:val="00C74E4B"/>
    <w:rsid w:val="00C762FE"/>
    <w:rsid w:val="00C7729D"/>
    <w:rsid w:val="00C77355"/>
    <w:rsid w:val="00C774A0"/>
    <w:rsid w:val="00C80A28"/>
    <w:rsid w:val="00C80CB1"/>
    <w:rsid w:val="00C85C08"/>
    <w:rsid w:val="00C871B7"/>
    <w:rsid w:val="00C877F0"/>
    <w:rsid w:val="00C90051"/>
    <w:rsid w:val="00C90315"/>
    <w:rsid w:val="00C915C8"/>
    <w:rsid w:val="00C931B7"/>
    <w:rsid w:val="00C93E67"/>
    <w:rsid w:val="00C94FDB"/>
    <w:rsid w:val="00C95377"/>
    <w:rsid w:val="00C95AEE"/>
    <w:rsid w:val="00C96F0F"/>
    <w:rsid w:val="00CA0818"/>
    <w:rsid w:val="00CA1902"/>
    <w:rsid w:val="00CA3C6F"/>
    <w:rsid w:val="00CA57B7"/>
    <w:rsid w:val="00CA59B5"/>
    <w:rsid w:val="00CA62C4"/>
    <w:rsid w:val="00CA77F6"/>
    <w:rsid w:val="00CA7FDC"/>
    <w:rsid w:val="00CB0620"/>
    <w:rsid w:val="00CB1E30"/>
    <w:rsid w:val="00CB230B"/>
    <w:rsid w:val="00CB2384"/>
    <w:rsid w:val="00CB265A"/>
    <w:rsid w:val="00CB6050"/>
    <w:rsid w:val="00CB62EB"/>
    <w:rsid w:val="00CC3607"/>
    <w:rsid w:val="00CC38E7"/>
    <w:rsid w:val="00CC3B4C"/>
    <w:rsid w:val="00CC6342"/>
    <w:rsid w:val="00CD2488"/>
    <w:rsid w:val="00CD677F"/>
    <w:rsid w:val="00CD70C6"/>
    <w:rsid w:val="00CE0181"/>
    <w:rsid w:val="00CE1182"/>
    <w:rsid w:val="00CE11C6"/>
    <w:rsid w:val="00CE7124"/>
    <w:rsid w:val="00CF1E3A"/>
    <w:rsid w:val="00CF465B"/>
    <w:rsid w:val="00CF505C"/>
    <w:rsid w:val="00CF6974"/>
    <w:rsid w:val="00CF79B4"/>
    <w:rsid w:val="00D007C5"/>
    <w:rsid w:val="00D01C07"/>
    <w:rsid w:val="00D02305"/>
    <w:rsid w:val="00D031E1"/>
    <w:rsid w:val="00D06873"/>
    <w:rsid w:val="00D11569"/>
    <w:rsid w:val="00D118DE"/>
    <w:rsid w:val="00D12B59"/>
    <w:rsid w:val="00D13AFD"/>
    <w:rsid w:val="00D1644F"/>
    <w:rsid w:val="00D16A83"/>
    <w:rsid w:val="00D21049"/>
    <w:rsid w:val="00D215EF"/>
    <w:rsid w:val="00D22E1D"/>
    <w:rsid w:val="00D252EB"/>
    <w:rsid w:val="00D2624B"/>
    <w:rsid w:val="00D27AA6"/>
    <w:rsid w:val="00D31BBB"/>
    <w:rsid w:val="00D31C1F"/>
    <w:rsid w:val="00D326C1"/>
    <w:rsid w:val="00D32BDB"/>
    <w:rsid w:val="00D37A0E"/>
    <w:rsid w:val="00D42450"/>
    <w:rsid w:val="00D44A4D"/>
    <w:rsid w:val="00D4537B"/>
    <w:rsid w:val="00D45667"/>
    <w:rsid w:val="00D500EC"/>
    <w:rsid w:val="00D5441C"/>
    <w:rsid w:val="00D56223"/>
    <w:rsid w:val="00D56573"/>
    <w:rsid w:val="00D57071"/>
    <w:rsid w:val="00D57D73"/>
    <w:rsid w:val="00D615A4"/>
    <w:rsid w:val="00D616A5"/>
    <w:rsid w:val="00D62F02"/>
    <w:rsid w:val="00D65051"/>
    <w:rsid w:val="00D65597"/>
    <w:rsid w:val="00D66676"/>
    <w:rsid w:val="00D674DE"/>
    <w:rsid w:val="00D7318C"/>
    <w:rsid w:val="00D742C3"/>
    <w:rsid w:val="00D74602"/>
    <w:rsid w:val="00D770AD"/>
    <w:rsid w:val="00D77900"/>
    <w:rsid w:val="00D87220"/>
    <w:rsid w:val="00D906B9"/>
    <w:rsid w:val="00D90966"/>
    <w:rsid w:val="00D909E0"/>
    <w:rsid w:val="00D9154D"/>
    <w:rsid w:val="00D91B1D"/>
    <w:rsid w:val="00D91F88"/>
    <w:rsid w:val="00D9252B"/>
    <w:rsid w:val="00D92685"/>
    <w:rsid w:val="00D94369"/>
    <w:rsid w:val="00D95D85"/>
    <w:rsid w:val="00D96C0E"/>
    <w:rsid w:val="00D9714B"/>
    <w:rsid w:val="00D97624"/>
    <w:rsid w:val="00DA27E6"/>
    <w:rsid w:val="00DA494B"/>
    <w:rsid w:val="00DA4D2E"/>
    <w:rsid w:val="00DA564D"/>
    <w:rsid w:val="00DA618E"/>
    <w:rsid w:val="00DA7573"/>
    <w:rsid w:val="00DA7A06"/>
    <w:rsid w:val="00DB2133"/>
    <w:rsid w:val="00DB2CB5"/>
    <w:rsid w:val="00DB3A67"/>
    <w:rsid w:val="00DC076D"/>
    <w:rsid w:val="00DC0B3A"/>
    <w:rsid w:val="00DC15F4"/>
    <w:rsid w:val="00DC19CA"/>
    <w:rsid w:val="00DC21DF"/>
    <w:rsid w:val="00DC28AA"/>
    <w:rsid w:val="00DC306B"/>
    <w:rsid w:val="00DC3835"/>
    <w:rsid w:val="00DC3C9B"/>
    <w:rsid w:val="00DC46DB"/>
    <w:rsid w:val="00DD2331"/>
    <w:rsid w:val="00DD2D73"/>
    <w:rsid w:val="00DD6B84"/>
    <w:rsid w:val="00DD755A"/>
    <w:rsid w:val="00DE2E43"/>
    <w:rsid w:val="00DE31E0"/>
    <w:rsid w:val="00DE375B"/>
    <w:rsid w:val="00DE385A"/>
    <w:rsid w:val="00DE3E69"/>
    <w:rsid w:val="00DE3FA0"/>
    <w:rsid w:val="00DE578E"/>
    <w:rsid w:val="00DE798D"/>
    <w:rsid w:val="00DF3073"/>
    <w:rsid w:val="00DF3363"/>
    <w:rsid w:val="00DF40C8"/>
    <w:rsid w:val="00DF5072"/>
    <w:rsid w:val="00DF52BC"/>
    <w:rsid w:val="00DF52DB"/>
    <w:rsid w:val="00DF6B44"/>
    <w:rsid w:val="00DF790E"/>
    <w:rsid w:val="00E01106"/>
    <w:rsid w:val="00E011F2"/>
    <w:rsid w:val="00E01AC7"/>
    <w:rsid w:val="00E0415E"/>
    <w:rsid w:val="00E053F6"/>
    <w:rsid w:val="00E05A11"/>
    <w:rsid w:val="00E065E3"/>
    <w:rsid w:val="00E1166A"/>
    <w:rsid w:val="00E143E6"/>
    <w:rsid w:val="00E144D1"/>
    <w:rsid w:val="00E1518C"/>
    <w:rsid w:val="00E15B07"/>
    <w:rsid w:val="00E165B8"/>
    <w:rsid w:val="00E212A2"/>
    <w:rsid w:val="00E225BC"/>
    <w:rsid w:val="00E22ED8"/>
    <w:rsid w:val="00E23EFB"/>
    <w:rsid w:val="00E24735"/>
    <w:rsid w:val="00E252B2"/>
    <w:rsid w:val="00E25AC7"/>
    <w:rsid w:val="00E25BEA"/>
    <w:rsid w:val="00E25CCB"/>
    <w:rsid w:val="00E26DAE"/>
    <w:rsid w:val="00E27CE0"/>
    <w:rsid w:val="00E3086D"/>
    <w:rsid w:val="00E310D4"/>
    <w:rsid w:val="00E31643"/>
    <w:rsid w:val="00E31A71"/>
    <w:rsid w:val="00E31AC1"/>
    <w:rsid w:val="00E31D89"/>
    <w:rsid w:val="00E32061"/>
    <w:rsid w:val="00E33F55"/>
    <w:rsid w:val="00E3490E"/>
    <w:rsid w:val="00E40A08"/>
    <w:rsid w:val="00E40F71"/>
    <w:rsid w:val="00E415B0"/>
    <w:rsid w:val="00E41B76"/>
    <w:rsid w:val="00E428CD"/>
    <w:rsid w:val="00E42DB8"/>
    <w:rsid w:val="00E43408"/>
    <w:rsid w:val="00E45792"/>
    <w:rsid w:val="00E45DD5"/>
    <w:rsid w:val="00E469C7"/>
    <w:rsid w:val="00E52A17"/>
    <w:rsid w:val="00E535B3"/>
    <w:rsid w:val="00E539EE"/>
    <w:rsid w:val="00E540DA"/>
    <w:rsid w:val="00E550B4"/>
    <w:rsid w:val="00E57520"/>
    <w:rsid w:val="00E65111"/>
    <w:rsid w:val="00E666DD"/>
    <w:rsid w:val="00E67328"/>
    <w:rsid w:val="00E71D39"/>
    <w:rsid w:val="00E742BD"/>
    <w:rsid w:val="00E74B49"/>
    <w:rsid w:val="00E75D2F"/>
    <w:rsid w:val="00E765F4"/>
    <w:rsid w:val="00E776DA"/>
    <w:rsid w:val="00E810E1"/>
    <w:rsid w:val="00E825C8"/>
    <w:rsid w:val="00E830CB"/>
    <w:rsid w:val="00E84BE2"/>
    <w:rsid w:val="00E878B7"/>
    <w:rsid w:val="00E90AB7"/>
    <w:rsid w:val="00E91933"/>
    <w:rsid w:val="00E941A8"/>
    <w:rsid w:val="00E970E9"/>
    <w:rsid w:val="00E973D2"/>
    <w:rsid w:val="00EA05A1"/>
    <w:rsid w:val="00EA0DB6"/>
    <w:rsid w:val="00EA33F4"/>
    <w:rsid w:val="00EA3FB9"/>
    <w:rsid w:val="00EA548D"/>
    <w:rsid w:val="00EA59E8"/>
    <w:rsid w:val="00EA5B67"/>
    <w:rsid w:val="00EA7370"/>
    <w:rsid w:val="00EA778C"/>
    <w:rsid w:val="00EA7E36"/>
    <w:rsid w:val="00EA7F9A"/>
    <w:rsid w:val="00EB2841"/>
    <w:rsid w:val="00EB411B"/>
    <w:rsid w:val="00EB457C"/>
    <w:rsid w:val="00EB5DB0"/>
    <w:rsid w:val="00EB6127"/>
    <w:rsid w:val="00EB7BA0"/>
    <w:rsid w:val="00EC0F07"/>
    <w:rsid w:val="00EC12E7"/>
    <w:rsid w:val="00EC2786"/>
    <w:rsid w:val="00EC350D"/>
    <w:rsid w:val="00EC4B91"/>
    <w:rsid w:val="00EC599B"/>
    <w:rsid w:val="00EC6B26"/>
    <w:rsid w:val="00EC7E60"/>
    <w:rsid w:val="00EC7E69"/>
    <w:rsid w:val="00ED4163"/>
    <w:rsid w:val="00ED5E80"/>
    <w:rsid w:val="00ED7151"/>
    <w:rsid w:val="00EE0BEE"/>
    <w:rsid w:val="00EE0BFE"/>
    <w:rsid w:val="00EE1444"/>
    <w:rsid w:val="00EE378B"/>
    <w:rsid w:val="00EE3E7A"/>
    <w:rsid w:val="00EE5122"/>
    <w:rsid w:val="00EE53CB"/>
    <w:rsid w:val="00EF21A1"/>
    <w:rsid w:val="00EF2938"/>
    <w:rsid w:val="00EF34AC"/>
    <w:rsid w:val="00EF3D8E"/>
    <w:rsid w:val="00EF456A"/>
    <w:rsid w:val="00EF5F1B"/>
    <w:rsid w:val="00F000AF"/>
    <w:rsid w:val="00F01899"/>
    <w:rsid w:val="00F0226A"/>
    <w:rsid w:val="00F0328C"/>
    <w:rsid w:val="00F03796"/>
    <w:rsid w:val="00F04634"/>
    <w:rsid w:val="00F06DDA"/>
    <w:rsid w:val="00F070A7"/>
    <w:rsid w:val="00F10322"/>
    <w:rsid w:val="00F10569"/>
    <w:rsid w:val="00F11D0C"/>
    <w:rsid w:val="00F125EB"/>
    <w:rsid w:val="00F12E17"/>
    <w:rsid w:val="00F137E0"/>
    <w:rsid w:val="00F1387B"/>
    <w:rsid w:val="00F15332"/>
    <w:rsid w:val="00F15973"/>
    <w:rsid w:val="00F160FA"/>
    <w:rsid w:val="00F168EB"/>
    <w:rsid w:val="00F173F3"/>
    <w:rsid w:val="00F20ADC"/>
    <w:rsid w:val="00F220BB"/>
    <w:rsid w:val="00F2351A"/>
    <w:rsid w:val="00F251B2"/>
    <w:rsid w:val="00F30B1D"/>
    <w:rsid w:val="00F3367C"/>
    <w:rsid w:val="00F33982"/>
    <w:rsid w:val="00F33FC4"/>
    <w:rsid w:val="00F35022"/>
    <w:rsid w:val="00F35A44"/>
    <w:rsid w:val="00F3691F"/>
    <w:rsid w:val="00F36C15"/>
    <w:rsid w:val="00F41159"/>
    <w:rsid w:val="00F42333"/>
    <w:rsid w:val="00F42427"/>
    <w:rsid w:val="00F47316"/>
    <w:rsid w:val="00F473E0"/>
    <w:rsid w:val="00F47DD3"/>
    <w:rsid w:val="00F50AA4"/>
    <w:rsid w:val="00F51410"/>
    <w:rsid w:val="00F54944"/>
    <w:rsid w:val="00F54BBD"/>
    <w:rsid w:val="00F54DEE"/>
    <w:rsid w:val="00F552C4"/>
    <w:rsid w:val="00F55648"/>
    <w:rsid w:val="00F57123"/>
    <w:rsid w:val="00F57A1F"/>
    <w:rsid w:val="00F60E3C"/>
    <w:rsid w:val="00F63366"/>
    <w:rsid w:val="00F64014"/>
    <w:rsid w:val="00F64237"/>
    <w:rsid w:val="00F6640C"/>
    <w:rsid w:val="00F66CAD"/>
    <w:rsid w:val="00F70864"/>
    <w:rsid w:val="00F72005"/>
    <w:rsid w:val="00F7288B"/>
    <w:rsid w:val="00F73B4E"/>
    <w:rsid w:val="00F74657"/>
    <w:rsid w:val="00F75F1A"/>
    <w:rsid w:val="00F767E3"/>
    <w:rsid w:val="00F76B64"/>
    <w:rsid w:val="00F76E6D"/>
    <w:rsid w:val="00F80548"/>
    <w:rsid w:val="00F80B1F"/>
    <w:rsid w:val="00F82844"/>
    <w:rsid w:val="00F87CED"/>
    <w:rsid w:val="00F90420"/>
    <w:rsid w:val="00F904AD"/>
    <w:rsid w:val="00F9130C"/>
    <w:rsid w:val="00F9392C"/>
    <w:rsid w:val="00F94356"/>
    <w:rsid w:val="00F94E98"/>
    <w:rsid w:val="00F960F0"/>
    <w:rsid w:val="00F9757A"/>
    <w:rsid w:val="00FA000F"/>
    <w:rsid w:val="00FA06F4"/>
    <w:rsid w:val="00FA103E"/>
    <w:rsid w:val="00FA28FB"/>
    <w:rsid w:val="00FA330D"/>
    <w:rsid w:val="00FA3BED"/>
    <w:rsid w:val="00FA4B3A"/>
    <w:rsid w:val="00FA4E84"/>
    <w:rsid w:val="00FA56FA"/>
    <w:rsid w:val="00FA6878"/>
    <w:rsid w:val="00FB1F25"/>
    <w:rsid w:val="00FB202A"/>
    <w:rsid w:val="00FB2BD4"/>
    <w:rsid w:val="00FB4683"/>
    <w:rsid w:val="00FB53C9"/>
    <w:rsid w:val="00FB575E"/>
    <w:rsid w:val="00FB6B8E"/>
    <w:rsid w:val="00FB72F1"/>
    <w:rsid w:val="00FB7785"/>
    <w:rsid w:val="00FC046A"/>
    <w:rsid w:val="00FC11E2"/>
    <w:rsid w:val="00FC357C"/>
    <w:rsid w:val="00FC4871"/>
    <w:rsid w:val="00FC677B"/>
    <w:rsid w:val="00FC77F7"/>
    <w:rsid w:val="00FC7D24"/>
    <w:rsid w:val="00FC7D3A"/>
    <w:rsid w:val="00FD13FC"/>
    <w:rsid w:val="00FD384E"/>
    <w:rsid w:val="00FD4716"/>
    <w:rsid w:val="00FD6DEB"/>
    <w:rsid w:val="00FE0473"/>
    <w:rsid w:val="00FE05D7"/>
    <w:rsid w:val="00FE09A8"/>
    <w:rsid w:val="00FE09FB"/>
    <w:rsid w:val="00FE162A"/>
    <w:rsid w:val="00FE2314"/>
    <w:rsid w:val="00FE3606"/>
    <w:rsid w:val="00FE434E"/>
    <w:rsid w:val="00FE7359"/>
    <w:rsid w:val="00FE7670"/>
    <w:rsid w:val="00FF3751"/>
    <w:rsid w:val="00FF3E19"/>
    <w:rsid w:val="00FF522A"/>
    <w:rsid w:val="00FF58BE"/>
    <w:rsid w:val="00FF5E0E"/>
    <w:rsid w:val="00FF6C72"/>
    <w:rsid w:val="12CB8D81"/>
    <w:rsid w:val="4DCDA837"/>
  </w:rsids>
  <m:mathPr>
    <m:mathFont m:val="Cambria Math"/>
    <m:brkBin m:val="before"/>
    <m:brkBinSub m:val="--"/>
    <m:smallFrac m:val="0"/>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39FA218"/>
  <w15:chartTrackingRefBased/>
  <w15:docId w15:val="{EA0D80CC-EB2D-4381-BF22-92C617FF97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fr" w:eastAsia="en-I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rPr>
  </w:style>
  <w:style w:type="paragraph" w:styleId="Heading1">
    <w:name w:val="heading 1"/>
    <w:aliases w:val="Heading 1 Char,Heading 1 Char1 Char,Heading 1 Char Char Char,Heading 1 Char1 Char Char Char,Heading 1 Char Char Char Char Char,Heading 1 Char1 Char Char Char Char Char,Heading 1 Char Char Char Char Char Char Char,Heading 1 Char1 Char1"/>
    <w:basedOn w:val="Normal"/>
    <w:next w:val="Normal"/>
    <w:link w:val="Heading1Char1"/>
    <w:qFormat/>
    <w:pPr>
      <w:keepNext/>
      <w:numPr>
        <w:numId w:val="1"/>
      </w:numPr>
      <w:jc w:val="both"/>
      <w:outlineLvl w:val="0"/>
    </w:pPr>
    <w:rPr>
      <w:rFonts w:ascii="Arial" w:hAnsi="Arial"/>
      <w:b/>
      <w:kern w:val="28"/>
      <w:sz w:val="28"/>
    </w:rPr>
  </w:style>
  <w:style w:type="paragraph" w:styleId="Heading2">
    <w:name w:val="heading 2"/>
    <w:basedOn w:val="Normal"/>
    <w:next w:val="Normal"/>
    <w:qFormat/>
    <w:pPr>
      <w:keepNext/>
      <w:numPr>
        <w:ilvl w:val="1"/>
        <w:numId w:val="1"/>
      </w:numPr>
      <w:spacing w:before="240" w:after="60"/>
      <w:outlineLvl w:val="1"/>
    </w:pPr>
    <w:rPr>
      <w:rFonts w:ascii="Arial" w:hAnsi="Arial"/>
      <w:b/>
      <w:i/>
    </w:rPr>
  </w:style>
  <w:style w:type="paragraph" w:styleId="Heading3">
    <w:name w:val="heading 3"/>
    <w:basedOn w:val="Heading2"/>
    <w:next w:val="Normal"/>
    <w:qFormat/>
    <w:pPr>
      <w:numPr>
        <w:ilvl w:val="2"/>
      </w:numPr>
      <w:outlineLvl w:val="2"/>
    </w:pPr>
    <w:rPr>
      <w:b w:val="0"/>
      <w:i w:val="0"/>
    </w:rPr>
  </w:style>
  <w:style w:type="paragraph" w:styleId="Heading4">
    <w:name w:val="heading 4"/>
    <w:basedOn w:val="Normal"/>
    <w:next w:val="Normal"/>
    <w:qFormat/>
    <w:pPr>
      <w:keepNext/>
      <w:numPr>
        <w:ilvl w:val="3"/>
        <w:numId w:val="1"/>
      </w:numPr>
      <w:spacing w:before="240" w:after="60"/>
      <w:outlineLvl w:val="3"/>
    </w:pPr>
    <w:rPr>
      <w:rFonts w:ascii="Arial" w:hAnsi="Arial"/>
      <w:b/>
    </w:rPr>
  </w:style>
  <w:style w:type="paragraph" w:styleId="Heading5">
    <w:name w:val="heading 5"/>
    <w:basedOn w:val="Normal"/>
    <w:next w:val="Normal"/>
    <w:qFormat/>
    <w:pPr>
      <w:numPr>
        <w:ilvl w:val="4"/>
        <w:numId w:val="1"/>
      </w:numPr>
      <w:spacing w:before="240" w:after="60"/>
      <w:outlineLvl w:val="4"/>
    </w:pPr>
    <w:rPr>
      <w:sz w:val="22"/>
    </w:rPr>
  </w:style>
  <w:style w:type="paragraph" w:styleId="Heading6">
    <w:name w:val="heading 6"/>
    <w:basedOn w:val="Normal"/>
    <w:next w:val="Normal"/>
    <w:qFormat/>
    <w:pPr>
      <w:numPr>
        <w:ilvl w:val="5"/>
        <w:numId w:val="1"/>
      </w:numPr>
      <w:spacing w:before="240" w:after="60"/>
      <w:outlineLvl w:val="5"/>
    </w:pPr>
    <w:rPr>
      <w:i/>
      <w:sz w:val="22"/>
    </w:rPr>
  </w:style>
  <w:style w:type="paragraph" w:styleId="Heading7">
    <w:name w:val="heading 7"/>
    <w:basedOn w:val="Normal"/>
    <w:next w:val="Normal"/>
    <w:qFormat/>
    <w:pPr>
      <w:numPr>
        <w:ilvl w:val="6"/>
        <w:numId w:val="1"/>
      </w:numPr>
      <w:spacing w:before="240" w:after="60"/>
      <w:outlineLvl w:val="6"/>
    </w:pPr>
    <w:rPr>
      <w:rFonts w:ascii="Arial" w:hAnsi="Arial"/>
      <w:sz w:val="20"/>
    </w:rPr>
  </w:style>
  <w:style w:type="paragraph" w:styleId="Heading8">
    <w:name w:val="heading 8"/>
    <w:basedOn w:val="Normal"/>
    <w:next w:val="Normal"/>
    <w:qFormat/>
    <w:pPr>
      <w:numPr>
        <w:ilvl w:val="7"/>
        <w:numId w:val="1"/>
      </w:numPr>
      <w:spacing w:before="240" w:after="60"/>
      <w:outlineLvl w:val="7"/>
    </w:pPr>
    <w:rPr>
      <w:rFonts w:ascii="Arial" w:hAnsi="Arial"/>
      <w:i/>
      <w:sz w:val="20"/>
    </w:rPr>
  </w:style>
  <w:style w:type="paragraph" w:styleId="Heading9">
    <w:name w:val="heading 9"/>
    <w:basedOn w:val="Normal"/>
    <w:next w:val="Normal"/>
    <w:qFormat/>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next w:val="Normal"/>
    <w:autoRedefine/>
    <w:semiHidden/>
    <w:pPr>
      <w:tabs>
        <w:tab w:val="left" w:pos="480"/>
        <w:tab w:val="right" w:leader="dot" w:pos="8296"/>
      </w:tabs>
      <w:spacing w:before="120" w:after="120"/>
    </w:pPr>
    <w:rPr>
      <w:b/>
      <w:caps/>
      <w:sz w:val="20"/>
    </w:rPr>
  </w:style>
  <w:style w:type="paragraph" w:styleId="TOC2">
    <w:name w:val="toc 2"/>
    <w:basedOn w:val="Normal"/>
    <w:next w:val="Normal"/>
    <w:autoRedefine/>
    <w:semiHidden/>
    <w:pPr>
      <w:tabs>
        <w:tab w:val="left" w:pos="720"/>
        <w:tab w:val="left" w:pos="960"/>
        <w:tab w:val="right" w:leader="dot" w:pos="8296"/>
      </w:tabs>
      <w:ind w:left="227"/>
    </w:pPr>
    <w:rPr>
      <w:smallCaps/>
      <w:sz w:val="20"/>
    </w:rPr>
  </w:style>
  <w:style w:type="paragraph" w:styleId="TOC3">
    <w:name w:val="toc 3"/>
    <w:basedOn w:val="Normal"/>
    <w:next w:val="Normal"/>
    <w:autoRedefine/>
    <w:semiHidden/>
    <w:pPr>
      <w:ind w:left="480"/>
    </w:pPr>
    <w:rPr>
      <w:i/>
      <w:sz w:val="20"/>
    </w:rPr>
  </w:style>
  <w:style w:type="paragraph" w:styleId="TOC4">
    <w:name w:val="toc 4"/>
    <w:basedOn w:val="Normal"/>
    <w:next w:val="Normal"/>
    <w:autoRedefine/>
    <w:semiHidden/>
    <w:pPr>
      <w:tabs>
        <w:tab w:val="left" w:pos="1985"/>
        <w:tab w:val="right" w:leader="dot" w:pos="8296"/>
      </w:tabs>
      <w:ind w:left="720"/>
    </w:pPr>
    <w:rPr>
      <w:sz w:val="18"/>
    </w:rPr>
  </w:style>
  <w:style w:type="paragraph" w:styleId="TOC5">
    <w:name w:val="toc 5"/>
    <w:basedOn w:val="Normal"/>
    <w:next w:val="Normal"/>
    <w:autoRedefine/>
    <w:semiHidden/>
    <w:pPr>
      <w:ind w:left="960"/>
    </w:pPr>
    <w:rPr>
      <w:sz w:val="18"/>
    </w:rPr>
  </w:style>
  <w:style w:type="paragraph" w:styleId="TOC6">
    <w:name w:val="toc 6"/>
    <w:basedOn w:val="Normal"/>
    <w:next w:val="Normal"/>
    <w:autoRedefine/>
    <w:semiHidden/>
    <w:pPr>
      <w:ind w:left="1200"/>
    </w:pPr>
    <w:rPr>
      <w:sz w:val="18"/>
    </w:rPr>
  </w:style>
  <w:style w:type="paragraph" w:styleId="TOC7">
    <w:name w:val="toc 7"/>
    <w:basedOn w:val="Normal"/>
    <w:next w:val="Normal"/>
    <w:autoRedefine/>
    <w:semiHidden/>
    <w:pPr>
      <w:ind w:left="1440"/>
    </w:pPr>
    <w:rPr>
      <w:sz w:val="18"/>
    </w:rPr>
  </w:style>
  <w:style w:type="paragraph" w:styleId="TOC8">
    <w:name w:val="toc 8"/>
    <w:basedOn w:val="Normal"/>
    <w:next w:val="Normal"/>
    <w:autoRedefine/>
    <w:semiHidden/>
    <w:pPr>
      <w:ind w:left="1680"/>
    </w:pPr>
    <w:rPr>
      <w:sz w:val="18"/>
    </w:rPr>
  </w:style>
  <w:style w:type="paragraph" w:styleId="TOC9">
    <w:name w:val="toc 9"/>
    <w:basedOn w:val="Normal"/>
    <w:next w:val="Normal"/>
    <w:autoRedefine/>
    <w:semiHidden/>
    <w:pPr>
      <w:ind w:left="1920"/>
    </w:pPr>
    <w:rPr>
      <w:sz w:val="18"/>
    </w:rPr>
  </w:style>
  <w:style w:type="paragraph" w:styleId="Footer">
    <w:name w:val="footer"/>
    <w:basedOn w:val="Normal"/>
    <w:pPr>
      <w:tabs>
        <w:tab w:val="center" w:pos="4153"/>
        <w:tab w:val="right" w:pos="8306"/>
      </w:tabs>
    </w:pPr>
  </w:style>
  <w:style w:type="character" w:styleId="PageNumber">
    <w:name w:val="page number"/>
    <w:basedOn w:val="DefaultParagraphFont"/>
  </w:style>
  <w:style w:type="paragraph" w:styleId="Header">
    <w:name w:val="header"/>
    <w:basedOn w:val="Normal"/>
    <w:pPr>
      <w:tabs>
        <w:tab w:val="center" w:pos="4153"/>
        <w:tab w:val="right" w:pos="8306"/>
      </w:tabs>
    </w:pPr>
  </w:style>
  <w:style w:type="paragraph" w:customStyle="1" w:styleId="Text1">
    <w:name w:val="Text 1"/>
    <w:basedOn w:val="Normal"/>
    <w:pPr>
      <w:spacing w:after="240"/>
      <w:ind w:left="482"/>
      <w:jc w:val="both"/>
    </w:pPr>
  </w:style>
  <w:style w:type="paragraph" w:customStyle="1" w:styleId="Text2">
    <w:name w:val="Text 2"/>
    <w:basedOn w:val="Normal"/>
    <w:pPr>
      <w:tabs>
        <w:tab w:val="left" w:pos="2161"/>
      </w:tabs>
      <w:spacing w:after="240"/>
      <w:ind w:left="1077"/>
      <w:jc w:val="both"/>
    </w:pPr>
  </w:style>
  <w:style w:type="paragraph" w:styleId="Closing">
    <w:name w:val="Closing"/>
    <w:basedOn w:val="Normal"/>
    <w:next w:val="Signature"/>
    <w:pPr>
      <w:tabs>
        <w:tab w:val="left" w:pos="5103"/>
      </w:tabs>
      <w:spacing w:before="240" w:after="240"/>
      <w:ind w:left="5103"/>
    </w:pPr>
  </w:style>
  <w:style w:type="paragraph" w:styleId="Signature">
    <w:name w:val="Signature"/>
    <w:basedOn w:val="Normal"/>
    <w:pPr>
      <w:ind w:left="4252"/>
    </w:pPr>
  </w:style>
  <w:style w:type="paragraph" w:customStyle="1" w:styleId="Text3">
    <w:name w:val="Text 3"/>
    <w:basedOn w:val="Normal"/>
    <w:pPr>
      <w:tabs>
        <w:tab w:val="left" w:pos="2302"/>
      </w:tabs>
      <w:spacing w:after="240"/>
      <w:ind w:left="1916"/>
      <w:jc w:val="both"/>
    </w:pPr>
  </w:style>
  <w:style w:type="paragraph" w:styleId="Date">
    <w:name w:val="Date"/>
    <w:basedOn w:val="Normal"/>
    <w:next w:val="References"/>
    <w:pPr>
      <w:ind w:left="5103" w:right="-567"/>
    </w:pPr>
  </w:style>
  <w:style w:type="paragraph" w:customStyle="1" w:styleId="References">
    <w:name w:val="References"/>
    <w:basedOn w:val="Normal"/>
    <w:next w:val="Normal"/>
    <w:pPr>
      <w:spacing w:after="240"/>
      <w:ind w:left="5103"/>
    </w:pPr>
    <w:rPr>
      <w:sz w:val="20"/>
    </w:rPr>
  </w:style>
  <w:style w:type="paragraph" w:customStyle="1" w:styleId="ZCom">
    <w:name w:val="Z_Com"/>
    <w:basedOn w:val="Normal"/>
    <w:next w:val="ZDGName"/>
    <w:pPr>
      <w:widowControl w:val="0"/>
      <w:ind w:right="85"/>
      <w:jc w:val="both"/>
    </w:pPr>
    <w:rPr>
      <w:rFonts w:ascii="Arial" w:hAnsi="Arial"/>
      <w:snapToGrid w:val="0"/>
    </w:rPr>
  </w:style>
  <w:style w:type="paragraph" w:customStyle="1" w:styleId="ZDGName">
    <w:name w:val="Z_DGName"/>
    <w:basedOn w:val="Normal"/>
    <w:pPr>
      <w:widowControl w:val="0"/>
      <w:ind w:right="85"/>
      <w:jc w:val="both"/>
    </w:pPr>
    <w:rPr>
      <w:rFonts w:ascii="Arial" w:hAnsi="Arial"/>
      <w:snapToGrid w:val="0"/>
      <w:sz w:val="16"/>
    </w:rPr>
  </w:style>
  <w:style w:type="paragraph" w:customStyle="1" w:styleId="Copies">
    <w:name w:val="Copies"/>
    <w:basedOn w:val="Normal"/>
    <w:next w:val="Normal"/>
    <w:pPr>
      <w:tabs>
        <w:tab w:val="left" w:pos="2512"/>
        <w:tab w:val="left" w:pos="2762"/>
        <w:tab w:val="left" w:pos="5642"/>
        <w:tab w:val="left" w:pos="6362"/>
        <w:tab w:val="left" w:pos="6720"/>
      </w:tabs>
      <w:spacing w:before="480"/>
      <w:ind w:left="1792" w:hanging="1792"/>
    </w:pPr>
  </w:style>
  <w:style w:type="paragraph" w:styleId="Index1">
    <w:name w:val="index 1"/>
    <w:basedOn w:val="Normal"/>
    <w:next w:val="Normal"/>
    <w:autoRedefine/>
    <w:semiHidden/>
    <w:pPr>
      <w:ind w:left="240" w:hanging="240"/>
    </w:pPr>
  </w:style>
  <w:style w:type="paragraph" w:customStyle="1" w:styleId="Participants">
    <w:name w:val="Participants"/>
    <w:basedOn w:val="Normal"/>
    <w:next w:val="Copies"/>
    <w:pPr>
      <w:tabs>
        <w:tab w:val="left" w:pos="2512"/>
        <w:tab w:val="left" w:pos="2762"/>
        <w:tab w:val="left" w:pos="5642"/>
        <w:tab w:val="left" w:pos="6362"/>
        <w:tab w:val="left" w:pos="6720"/>
      </w:tabs>
      <w:spacing w:before="480"/>
      <w:ind w:left="1792" w:hanging="1792"/>
    </w:pPr>
  </w:style>
  <w:style w:type="paragraph" w:customStyle="1" w:styleId="NoteHead">
    <w:name w:val="NoteHead"/>
    <w:basedOn w:val="Normal"/>
    <w:next w:val="Normal"/>
    <w:pPr>
      <w:spacing w:before="720" w:after="720"/>
      <w:jc w:val="center"/>
    </w:pPr>
    <w:rPr>
      <w:b/>
      <w:smallCaps/>
    </w:rPr>
  </w:style>
  <w:style w:type="paragraph" w:styleId="FootnoteText">
    <w:name w:val="footnote text"/>
    <w:basedOn w:val="Normal"/>
    <w:semiHidden/>
    <w:rPr>
      <w:sz w:val="20"/>
    </w:rPr>
  </w:style>
  <w:style w:type="character" w:styleId="FootnoteReference">
    <w:name w:val="footnote reference"/>
    <w:semiHidden/>
    <w:rPr>
      <w:vertAlign w:val="superscript"/>
    </w:rPr>
  </w:style>
  <w:style w:type="paragraph" w:styleId="BodyTextIndent">
    <w:name w:val="Body Text Indent"/>
    <w:basedOn w:val="Normal"/>
    <w:pPr>
      <w:ind w:left="720"/>
      <w:jc w:val="both"/>
    </w:pPr>
    <w:rPr>
      <w:sz w:val="22"/>
    </w:rPr>
  </w:style>
  <w:style w:type="character" w:styleId="EndnoteReference">
    <w:name w:val="endnote reference"/>
    <w:semiHidden/>
    <w:rPr>
      <w:vertAlign w:val="superscript"/>
    </w:rPr>
  </w:style>
  <w:style w:type="paragraph" w:styleId="DocumentMap">
    <w:name w:val="Document Map"/>
    <w:basedOn w:val="Normal"/>
    <w:semiHidden/>
    <w:pPr>
      <w:shd w:val="clear" w:color="auto" w:fill="000080"/>
    </w:pPr>
    <w:rPr>
      <w:rFonts w:ascii="Tahoma" w:hAnsi="Tahoma"/>
    </w:rPr>
  </w:style>
  <w:style w:type="character" w:styleId="Strong">
    <w:name w:val="Strong"/>
    <w:qFormat/>
    <w:rPr>
      <w:b/>
    </w:rPr>
  </w:style>
  <w:style w:type="character" w:styleId="Hyperlink">
    <w:name w:val="Hyperlink"/>
    <w:rPr>
      <w:color w:val="0000FF"/>
      <w:u w:val="single"/>
    </w:rPr>
  </w:style>
  <w:style w:type="paragraph" w:customStyle="1" w:styleId="Tiret0">
    <w:name w:val="Tiret 0"/>
    <w:basedOn w:val="Normal"/>
    <w:pPr>
      <w:spacing w:before="120" w:after="120"/>
      <w:ind w:left="851" w:hanging="851"/>
      <w:jc w:val="both"/>
    </w:pPr>
  </w:style>
  <w:style w:type="character" w:styleId="Emphasis">
    <w:name w:val="Emphasis"/>
    <w:qFormat/>
    <w:rPr>
      <w:i/>
    </w:rPr>
  </w:style>
  <w:style w:type="character" w:styleId="FollowedHyperlink">
    <w:name w:val="FollowedHyperlink"/>
    <w:rPr>
      <w:color w:val="800080"/>
      <w:u w:val="single"/>
    </w:rPr>
  </w:style>
  <w:style w:type="paragraph" w:styleId="BodyText">
    <w:name w:val="Body Text"/>
    <w:basedOn w:val="Normal"/>
    <w:pPr>
      <w:jc w:val="both"/>
    </w:pPr>
    <w:rPr>
      <w:rFonts w:ascii="Arial" w:hAnsi="Arial"/>
      <w:sz w:val="20"/>
    </w:rPr>
  </w:style>
  <w:style w:type="table" w:styleId="TableGrid">
    <w:name w:val="Table Grid"/>
    <w:basedOn w:val="TableNormal"/>
    <w:rsid w:val="008F18F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1">
    <w:name w:val="Heading 1 Char1"/>
    <w:aliases w:val="Heading 1 Char Char,Heading 1 Char1 Char Char,Heading 1 Char Char Char Char,Heading 1 Char1 Char Char Char Char,Heading 1 Char Char Char Char Char Char,Heading 1 Char1 Char Char Char Char Char Char,Heading 1 Char1 Char1 Char"/>
    <w:link w:val="Heading1"/>
    <w:rsid w:val="00170261"/>
    <w:rPr>
      <w:rFonts w:ascii="Arial" w:hAnsi="Arial"/>
      <w:b/>
      <w:kern w:val="28"/>
      <w:sz w:val="28"/>
    </w:rPr>
  </w:style>
  <w:style w:type="paragraph" w:customStyle="1" w:styleId="Blockquote">
    <w:name w:val="Blockquote"/>
    <w:basedOn w:val="Normal"/>
    <w:rsid w:val="00170261"/>
    <w:pPr>
      <w:spacing w:before="100" w:after="100"/>
      <w:ind w:left="360" w:right="360"/>
    </w:pPr>
    <w:rPr>
      <w:snapToGrid w:val="0"/>
    </w:rPr>
  </w:style>
  <w:style w:type="paragraph" w:styleId="NormalWeb">
    <w:name w:val="Normal (Web)"/>
    <w:basedOn w:val="Normal"/>
    <w:rsid w:val="004E0D3A"/>
    <w:pPr>
      <w:spacing w:before="100" w:beforeAutospacing="1" w:after="100" w:afterAutospacing="1"/>
    </w:pPr>
    <w:rPr>
      <w:color w:val="000080"/>
      <w:sz w:val="20"/>
    </w:rPr>
  </w:style>
  <w:style w:type="paragraph" w:styleId="BalloonText">
    <w:name w:val="Balloon Text"/>
    <w:basedOn w:val="Normal"/>
    <w:semiHidden/>
    <w:rsid w:val="00442345"/>
    <w:rPr>
      <w:rFonts w:ascii="Tahoma" w:hAnsi="Tahoma" w:cs="Tahoma"/>
      <w:sz w:val="16"/>
    </w:rPr>
  </w:style>
  <w:style w:type="paragraph" w:customStyle="1" w:styleId="BodySingle">
    <w:name w:val="Body Single"/>
    <w:basedOn w:val="BodyText"/>
    <w:rsid w:val="00242FF9"/>
    <w:pPr>
      <w:spacing w:line="290" w:lineRule="atLeast"/>
      <w:jc w:val="left"/>
    </w:pPr>
    <w:rPr>
      <w:rFonts w:ascii="Times New Roman" w:hAnsi="Times New Roman"/>
      <w:sz w:val="24"/>
    </w:rPr>
  </w:style>
  <w:style w:type="paragraph" w:styleId="Revision">
    <w:name w:val="Revision"/>
    <w:hidden/>
    <w:uiPriority w:val="99"/>
    <w:semiHidden/>
    <w:rsid w:val="006C20F7"/>
    <w:rPr>
      <w:sz w:val="24"/>
    </w:rPr>
  </w:style>
  <w:style w:type="character" w:customStyle="1" w:styleId="normaltextrun">
    <w:name w:val="normaltextrun"/>
    <w:basedOn w:val="DefaultParagraphFont"/>
    <w:rsid w:val="009E4FE4"/>
  </w:style>
  <w:style w:type="paragraph" w:customStyle="1" w:styleId="P68B1DB1-Normal1">
    <w:name w:val="P68B1DB1-Normal1"/>
    <w:basedOn w:val="Normal"/>
    <w:rPr>
      <w:rFonts w:ascii="Arial" w:hAnsi="Arial" w:cs="Arial"/>
      <w:b/>
      <w:i/>
      <w:sz w:val="22"/>
    </w:rPr>
  </w:style>
  <w:style w:type="paragraph" w:customStyle="1" w:styleId="P68B1DB1-Normal2">
    <w:name w:val="P68B1DB1-Normal2"/>
    <w:basedOn w:val="Normal"/>
    <w:rPr>
      <w:rFonts w:ascii="Arial" w:hAnsi="Arial" w:cs="Arial"/>
      <w:i/>
      <w:sz w:val="20"/>
    </w:rPr>
  </w:style>
  <w:style w:type="paragraph" w:customStyle="1" w:styleId="P68B1DB1-Normal3">
    <w:name w:val="P68B1DB1-Normal3"/>
    <w:basedOn w:val="Normal"/>
    <w:rPr>
      <w:sz w:val="22"/>
    </w:rPr>
  </w:style>
  <w:style w:type="paragraph" w:customStyle="1" w:styleId="P68B1DB1-Text14">
    <w:name w:val="P68B1DB1-Text14"/>
    <w:basedOn w:val="Text1"/>
    <w:rPr>
      <w:rFonts w:ascii="Arial" w:hAnsi="Arial" w:cs="Arial"/>
      <w:i/>
      <w:sz w:val="20"/>
    </w:rPr>
  </w:style>
  <w:style w:type="paragraph" w:customStyle="1" w:styleId="P68B1DB1-Text15">
    <w:name w:val="P68B1DB1-Text15"/>
    <w:basedOn w:val="Text1"/>
    <w:rPr>
      <w:sz w:val="22"/>
    </w:rPr>
  </w:style>
  <w:style w:type="paragraph" w:customStyle="1" w:styleId="P68B1DB1-Normal6">
    <w:name w:val="P68B1DB1-Normal6"/>
    <w:basedOn w:val="Normal"/>
    <w:rPr>
      <w:rFonts w:cs="Arial"/>
      <w:sz w:val="22"/>
    </w:rPr>
  </w:style>
  <w:style w:type="paragraph" w:customStyle="1" w:styleId="P68B1DB1-Normal7">
    <w:name w:val="P68B1DB1-Normal7"/>
    <w:basedOn w:val="Normal"/>
    <w:rPr>
      <w:color w:val="000000"/>
      <w:sz w:val="22"/>
    </w:rPr>
  </w:style>
  <w:style w:type="paragraph" w:customStyle="1" w:styleId="P68B1DB1-Normal8">
    <w:name w:val="P68B1DB1-Normal8"/>
    <w:basedOn w:val="Normal"/>
    <w:rPr>
      <w:rFonts w:ascii="Arial" w:hAnsi="Arial" w:cs="Arial"/>
      <w:i/>
      <w:color w:val="000000"/>
      <w:sz w:val="20"/>
    </w:rPr>
  </w:style>
  <w:style w:type="paragraph" w:customStyle="1" w:styleId="P68B1DB1-Normal9">
    <w:name w:val="P68B1DB1-Normal9"/>
    <w:basedOn w:val="Normal"/>
    <w:rPr>
      <w:rFonts w:ascii="Arial" w:hAnsi="Arial" w:cs="Arial"/>
      <w:sz w:val="20"/>
    </w:rPr>
  </w:style>
  <w:style w:type="paragraph" w:customStyle="1" w:styleId="P68B1DB1-Header10">
    <w:name w:val="P68B1DB1-Header10"/>
    <w:basedOn w:val="Header"/>
    <w:rPr>
      <w:rFonts w:ascii="Arial" w:hAnsi="Arial" w:cs="Arial"/>
      <w:i/>
      <w:sz w:val="16"/>
    </w:rPr>
  </w:style>
  <w:style w:type="paragraph" w:customStyle="1" w:styleId="P68B1DB1-Footer11">
    <w:name w:val="P68B1DB1-Footer11"/>
    <w:basedOn w:val="Footer"/>
    <w:rPr>
      <w:rFonts w:ascii="Arial" w:hAnsi="Arial" w:cs="Arial"/>
      <w:b/>
      <w:sz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encoding w:val="utf-8"/>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99782AF6692CB4E8097BF428225D135" ma:contentTypeVersion="6" ma:contentTypeDescription="Create a new document." ma:contentTypeScope="" ma:versionID="e0c58885feca7f80844c37186e2743e7">
  <xsd:schema xmlns:xsd="http://www.w3.org/2001/XMLSchema" xmlns:xs="http://www.w3.org/2001/XMLSchema" xmlns:p="http://schemas.microsoft.com/office/2006/metadata/properties" xmlns:ns2="5843c966-cb45-4885-93fc-2ce78a94204b" xmlns:ns3="ac131f03-315b-4cd8-8e3a-6189969fd4f0" targetNamespace="http://schemas.microsoft.com/office/2006/metadata/properties" ma:root="true" ma:fieldsID="d7bbfd429cf4504837c58362ea7dddfd" ns2:_="" ns3:_="">
    <xsd:import namespace="5843c966-cb45-4885-93fc-2ce78a94204b"/>
    <xsd:import namespace="ac131f03-315b-4cd8-8e3a-6189969fd4f0"/>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843c966-cb45-4885-93fc-2ce78a94204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c131f03-315b-4cd8-8e3a-6189969fd4f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31837BD-EE6B-4358-8BCB-F13138CD1EF8}">
  <ds:schemaRefs>
    <ds:schemaRef ds:uri="http://schemas.microsoft.com/sharepoint/v3/contenttype/forms"/>
  </ds:schemaRefs>
</ds:datastoreItem>
</file>

<file path=customXml/itemProps2.xml><?xml version="1.0" encoding="utf-8"?>
<ds:datastoreItem xmlns:ds="http://schemas.openxmlformats.org/officeDocument/2006/customXml" ds:itemID="{27C95063-ADF6-4671-A8E9-C7AB3FF5DBB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843c966-cb45-4885-93fc-2ce78a94204b"/>
    <ds:schemaRef ds:uri="ac131f03-315b-4cd8-8e3a-6189969fd4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7D0CAAF-5BEA-4A85-AF78-8F57E5B1411C}">
  <ds:schemaRefs>
    <ds:schemaRef ds:uri="http://purl.org/dc/terms/"/>
    <ds:schemaRef ds:uri="http://schemas.microsoft.com/office/2006/documentManagement/types"/>
    <ds:schemaRef ds:uri="http://purl.org/dc/dcmitype/"/>
    <ds:schemaRef ds:uri="http://www.w3.org/XML/1998/namespace"/>
    <ds:schemaRef ds:uri="http://schemas.microsoft.com/office/infopath/2007/PartnerControls"/>
    <ds:schemaRef ds:uri="5843c966-cb45-4885-93fc-2ce78a94204b"/>
    <ds:schemaRef ds:uri="http://purl.org/dc/elements/1.1/"/>
    <ds:schemaRef ds:uri="http://schemas.openxmlformats.org/package/2006/metadata/core-properties"/>
    <ds:schemaRef ds:uri="ac131f03-315b-4cd8-8e3a-6189969fd4f0"/>
    <ds:schemaRef ds:uri="http://schemas.microsoft.com/office/2006/metadata/properties"/>
  </ds:schemaRefs>
</ds:datastoreItem>
</file>

<file path=docProps/app.xml><?xml version="1.0" encoding="utf-8"?>
<Properties xmlns="http://schemas.openxmlformats.org/officeDocument/2006/extended-properties" xmlns:vt="http://schemas.openxmlformats.org/officeDocument/2006/docPropsVTypes">
  <Template>Normal</Template>
  <TotalTime>477</TotalTime>
  <Pages>8</Pages>
  <Words>3595</Words>
  <Characters>20169</Characters>
  <Application>Microsoft Office Word</Application>
  <DocSecurity>0</DocSecurity>
  <Lines>305</Lines>
  <Paragraphs>122</Paragraphs>
  <ScaleCrop>false</ScaleCrop>
  <HeadingPairs>
    <vt:vector size="2" baseType="variant">
      <vt:variant>
        <vt:lpstr>Title</vt:lpstr>
      </vt:variant>
      <vt:variant>
        <vt:i4>1</vt:i4>
      </vt:variant>
    </vt:vector>
  </HeadingPairs>
  <TitlesOfParts>
    <vt:vector size="1" baseType="lpstr">
      <vt:lpstr>INTERNAL AUDIT SERVICE OF THE EUROPEAN COMMISSION</vt:lpstr>
    </vt:vector>
  </TitlesOfParts>
  <Company/>
  <LinksUpToDate>false</LinksUpToDate>
  <CharactersWithSpaces>23642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INTERNAL AUDIT SERVICE OF THE EUROPEAN COMMISSION</dc:title>
  <dc:subject/>
  <dc:creator>swartwy</dc:creator>
  <cp:keywords/>
  <dc:description/>
  <cp:lastModifiedBy>FONSECA Cristina (INTPA)</cp:lastModifiedBy>
  <cp:revision>164</cp:revision>
  <cp:lastPrinted>2007-06-20T18:39:00Z</cp:lastPrinted>
  <dcterms:created xsi:type="dcterms:W3CDTF">2024-10-01T08:49:00Z</dcterms:created>
  <dcterms:modified xsi:type="dcterms:W3CDTF">2025-01-15T15:42:00Z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7" name="MSIP_Label_6bd9ddd1-4d20-43f6-abfa-fc3c07406f94_Enabled">
    <vt:lpwstr>true</vt:lpwstr>
  </property>
  <property fmtid="{D5CDD505-2E9C-101B-9397-08002B2CF9AE}" pid="8" name="MSIP_Label_6bd9ddd1-4d20-43f6-abfa-fc3c07406f94_SetDate">
    <vt:lpwstr>2024-10-01T08:49:04Z</vt:lpwstr>
  </property>
  <property fmtid="{D5CDD505-2E9C-101B-9397-08002B2CF9AE}" pid="9" name="MSIP_Label_6bd9ddd1-4d20-43f6-abfa-fc3c07406f94_Method">
    <vt:lpwstr>Standard</vt:lpwstr>
  </property>
  <property fmtid="{D5CDD505-2E9C-101B-9397-08002B2CF9AE}" pid="10" name="MSIP_Label_6bd9ddd1-4d20-43f6-abfa-fc3c07406f94_Name">
    <vt:lpwstr>Commission Use</vt:lpwstr>
  </property>
  <property fmtid="{D5CDD505-2E9C-101B-9397-08002B2CF9AE}" pid="11" name="MSIP_Label_6bd9ddd1-4d20-43f6-abfa-fc3c07406f94_SiteId">
    <vt:lpwstr>b24c8b06-522c-46fe-9080-70926f8dddb1</vt:lpwstr>
  </property>
  <property fmtid="{D5CDD505-2E9C-101B-9397-08002B2CF9AE}" pid="12" name="MSIP_Label_6bd9ddd1-4d20-43f6-abfa-fc3c07406f94_ActionId">
    <vt:lpwstr>ead8f20f-ef52-446c-8bfc-548d9a2b24ac</vt:lpwstr>
  </property>
  <property fmtid="{D5CDD505-2E9C-101B-9397-08002B2CF9AE}" pid="13" name="MSIP_Label_6bd9ddd1-4d20-43f6-abfa-fc3c07406f94_ContentBits">
    <vt:lpwstr>0</vt:lpwstr>
  </property>
  <property fmtid="{D5CDD505-2E9C-101B-9397-08002B2CF9AE}" pid="14" name="ContentTypeId">
    <vt:lpwstr>0x010100199782AF6692CB4E8097BF428225D135</vt:lpwstr>
  </property>
</Properties>
</file>